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3" w:lineRule="exact"/>
        <w:rPr>
          <w:sz w:val="24"/>
          <w:szCs w:val="24"/>
          <w:color w:val="auto"/>
        </w:rPr>
      </w:pPr>
    </w:p>
    <w:p>
      <w:pPr>
        <w:ind w:left="2140"/>
        <w:spacing w:after="0"/>
        <w:rPr>
          <w:sz w:val="20"/>
          <w:szCs w:val="20"/>
          <w:color w:val="auto"/>
        </w:rPr>
      </w:pPr>
      <w:r>
        <w:rPr>
          <w:rFonts w:ascii="Arial" w:cs="Arial" w:eastAsia="Arial" w:hAnsi="Arial"/>
          <w:sz w:val="18"/>
          <w:szCs w:val="18"/>
          <w:b w:val="1"/>
          <w:bCs w:val="1"/>
          <w:color w:val="auto"/>
        </w:rPr>
        <w:t>As filed with the United States Securities and Exchange Commission on August 14, 2023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333-269747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S-4</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Vahanna Tech Edge Acquisition I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tbl>
      <w:tblPr>
        <w:tblLayout w:type="fixed"/>
        <w:tblInd w:w="92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Arial" w:cs="Arial" w:eastAsia="Arial" w:hAnsi="Arial"/>
                <w:sz w:val="16"/>
                <w:szCs w:val="16"/>
                <w:b w:val="1"/>
                <w:bCs w:val="1"/>
                <w:color w:val="auto"/>
                <w:w w:val="93"/>
              </w:rPr>
              <w:t>British Virgin Islands</w:t>
            </w:r>
          </w:p>
        </w:tc>
        <w:tc>
          <w:tcPr>
            <w:tcW w:w="3860" w:type="dxa"/>
            <w:vAlign w:val="bottom"/>
          </w:tcPr>
          <w:p>
            <w:pPr>
              <w:jc w:val="center"/>
              <w:ind w:right="65"/>
              <w:spacing w:after="0"/>
              <w:rPr>
                <w:sz w:val="20"/>
                <w:szCs w:val="20"/>
                <w:color w:val="auto"/>
              </w:rPr>
            </w:pPr>
            <w:r>
              <w:rPr>
                <w:rFonts w:ascii="Arial" w:cs="Arial" w:eastAsia="Arial" w:hAnsi="Arial"/>
                <w:sz w:val="16"/>
                <w:szCs w:val="16"/>
                <w:b w:val="1"/>
                <w:bCs w:val="1"/>
                <w:color w:val="auto"/>
                <w:w w:val="89"/>
              </w:rPr>
              <w:t>6770</w:t>
            </w:r>
          </w:p>
        </w:tc>
        <w:tc>
          <w:tcPr>
            <w:tcW w:w="2200" w:type="dxa"/>
            <w:vAlign w:val="bottom"/>
          </w:tcPr>
          <w:p>
            <w:pPr>
              <w:jc w:val="center"/>
              <w:ind w:left="985"/>
              <w:spacing w:after="0"/>
              <w:rPr>
                <w:sz w:val="20"/>
                <w:szCs w:val="20"/>
                <w:color w:val="auto"/>
              </w:rPr>
            </w:pPr>
            <w:r>
              <w:rPr>
                <w:rFonts w:ascii="Arial" w:cs="Arial" w:eastAsia="Arial" w:hAnsi="Arial"/>
                <w:sz w:val="16"/>
                <w:szCs w:val="16"/>
                <w:b w:val="1"/>
                <w:bCs w:val="1"/>
                <w:color w:val="auto"/>
                <w:w w:val="91"/>
              </w:rPr>
              <w:t>98-1600102</w:t>
            </w:r>
          </w:p>
        </w:tc>
      </w:tr>
      <w:tr>
        <w:trPr>
          <w:trHeight w:val="149"/>
        </w:trPr>
        <w:tc>
          <w:tcPr>
            <w:tcW w:w="2840" w:type="dxa"/>
            <w:vAlign w:val="bottom"/>
          </w:tcPr>
          <w:p>
            <w:pPr>
              <w:jc w:val="center"/>
              <w:ind w:right="88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6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5"/>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65"/>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1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1230 Avenue of the Americas, 16</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(347) 745-6448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Karan Puri</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Vahanna Tech Edge Acquisition I Corp.</w:t>
      </w:r>
    </w:p>
    <w:p>
      <w:pPr>
        <w:jc w:val="center"/>
        <w:spacing w:after="0" w:line="181" w:lineRule="auto"/>
        <w:rPr>
          <w:sz w:val="20"/>
          <w:szCs w:val="20"/>
          <w:color w:val="auto"/>
        </w:rPr>
      </w:pPr>
      <w:r>
        <w:rPr>
          <w:rFonts w:ascii="Arial" w:cs="Arial" w:eastAsia="Arial" w:hAnsi="Arial"/>
          <w:sz w:val="18"/>
          <w:szCs w:val="18"/>
          <w:b w:val="1"/>
          <w:bCs w:val="1"/>
          <w:color w:val="auto"/>
        </w:rPr>
        <w:t>1230 Avenue of the Americas, 16</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10020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(347) 745-6448</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of all communications, including communications sent to agent for service, should be sent to:</w:t>
      </w:r>
    </w:p>
    <w:p>
      <w:pPr>
        <w:spacing w:after="0" w:line="253" w:lineRule="exact"/>
        <w:rPr>
          <w:sz w:val="24"/>
          <w:szCs w:val="24"/>
          <w:color w:val="auto"/>
        </w:rPr>
      </w:pPr>
    </w:p>
    <w:tbl>
      <w:tblPr>
        <w:tblLayout w:type="fixed"/>
        <w:tblInd w:w="1040" w:type="dxa"/>
        <w:tblCellMar>
          <w:top w:w="0" w:type="dxa"/>
          <w:left w:w="0" w:type="dxa"/>
          <w:bottom w:w="0" w:type="dxa"/>
          <w:right w:w="0" w:type="dxa"/>
        </w:tblCellMar>
      </w:tblPr>
      <w:tr>
        <w:trPr>
          <w:trHeight w:val="203"/>
        </w:trPr>
        <w:tc>
          <w:tcPr>
            <w:tcW w:w="2680" w:type="dxa"/>
            <w:vAlign w:val="bottom"/>
          </w:tcPr>
          <w:p>
            <w:pPr>
              <w:jc w:val="center"/>
              <w:ind w:right="959"/>
              <w:spacing w:after="0"/>
              <w:rPr>
                <w:sz w:val="20"/>
                <w:szCs w:val="20"/>
                <w:color w:val="auto"/>
              </w:rPr>
            </w:pPr>
            <w:r>
              <w:rPr>
                <w:rFonts w:ascii="Arial" w:cs="Arial" w:eastAsia="Arial" w:hAnsi="Arial"/>
                <w:sz w:val="16"/>
                <w:szCs w:val="16"/>
                <w:b w:val="1"/>
                <w:bCs w:val="1"/>
                <w:color w:val="auto"/>
                <w:w w:val="93"/>
              </w:rPr>
              <w:t>David A. Sakowitz</w:t>
            </w:r>
          </w:p>
        </w:tc>
        <w:tc>
          <w:tcPr>
            <w:tcW w:w="360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Rohan Malhotra</w:t>
            </w:r>
          </w:p>
        </w:tc>
        <w:tc>
          <w:tcPr>
            <w:tcW w:w="3020" w:type="dxa"/>
            <w:vAlign w:val="bottom"/>
          </w:tcPr>
          <w:p>
            <w:pPr>
              <w:jc w:val="center"/>
              <w:ind w:left="759"/>
              <w:spacing w:after="0"/>
              <w:rPr>
                <w:sz w:val="20"/>
                <w:szCs w:val="20"/>
                <w:color w:val="auto"/>
              </w:rPr>
            </w:pPr>
            <w:r>
              <w:rPr>
                <w:rFonts w:ascii="Arial" w:cs="Arial" w:eastAsia="Arial" w:hAnsi="Arial"/>
                <w:sz w:val="16"/>
                <w:szCs w:val="16"/>
                <w:b w:val="1"/>
                <w:bCs w:val="1"/>
                <w:color w:val="auto"/>
                <w:w w:val="97"/>
              </w:rPr>
              <w:t>Evan M. D’Amico</w:t>
            </w:r>
          </w:p>
        </w:tc>
      </w:tr>
      <w:tr>
        <w:trPr>
          <w:trHeight w:val="203"/>
        </w:trPr>
        <w:tc>
          <w:tcPr>
            <w:tcW w:w="2680" w:type="dxa"/>
            <w:vAlign w:val="bottom"/>
          </w:tcPr>
          <w:p>
            <w:pPr>
              <w:jc w:val="center"/>
              <w:ind w:right="959"/>
              <w:spacing w:after="0"/>
              <w:rPr>
                <w:sz w:val="20"/>
                <w:szCs w:val="20"/>
                <w:color w:val="auto"/>
              </w:rPr>
            </w:pPr>
            <w:r>
              <w:rPr>
                <w:rFonts w:ascii="Arial" w:cs="Arial" w:eastAsia="Arial" w:hAnsi="Arial"/>
                <w:sz w:val="16"/>
                <w:szCs w:val="16"/>
                <w:b w:val="1"/>
                <w:bCs w:val="1"/>
                <w:color w:val="auto"/>
                <w:w w:val="90"/>
              </w:rPr>
              <w:t>Jason D. Osborn</w:t>
            </w:r>
          </w:p>
        </w:tc>
        <w:tc>
          <w:tcPr>
            <w:tcW w:w="360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Chief Executive Officer</w:t>
            </w:r>
          </w:p>
        </w:tc>
        <w:tc>
          <w:tcPr>
            <w:tcW w:w="3020" w:type="dxa"/>
            <w:vAlign w:val="bottom"/>
          </w:tcPr>
          <w:p>
            <w:pPr>
              <w:jc w:val="center"/>
              <w:ind w:left="759"/>
              <w:spacing w:after="0"/>
              <w:rPr>
                <w:sz w:val="20"/>
                <w:szCs w:val="20"/>
                <w:color w:val="auto"/>
              </w:rPr>
            </w:pPr>
            <w:r>
              <w:rPr>
                <w:rFonts w:ascii="Arial" w:cs="Arial" w:eastAsia="Arial" w:hAnsi="Arial"/>
                <w:sz w:val="16"/>
                <w:szCs w:val="16"/>
                <w:b w:val="1"/>
                <w:bCs w:val="1"/>
                <w:color w:val="auto"/>
                <w:w w:val="96"/>
              </w:rPr>
              <w:t>Gibson, Dunn &amp; Crutcher LLP</w:t>
            </w:r>
          </w:p>
        </w:tc>
      </w:tr>
      <w:tr>
        <w:trPr>
          <w:trHeight w:val="203"/>
        </w:trPr>
        <w:tc>
          <w:tcPr>
            <w:tcW w:w="2680" w:type="dxa"/>
            <w:vAlign w:val="bottom"/>
          </w:tcPr>
          <w:p>
            <w:pPr>
              <w:jc w:val="center"/>
              <w:ind w:right="939"/>
              <w:spacing w:after="0"/>
              <w:rPr>
                <w:sz w:val="20"/>
                <w:szCs w:val="20"/>
                <w:color w:val="auto"/>
              </w:rPr>
            </w:pPr>
            <w:r>
              <w:rPr>
                <w:rFonts w:ascii="Arial" w:cs="Arial" w:eastAsia="Arial" w:hAnsi="Arial"/>
                <w:sz w:val="16"/>
                <w:szCs w:val="16"/>
                <w:b w:val="1"/>
                <w:bCs w:val="1"/>
                <w:color w:val="auto"/>
                <w:w w:val="91"/>
              </w:rPr>
              <w:t>Jeffrey Stern</w:t>
            </w:r>
          </w:p>
        </w:tc>
        <w:tc>
          <w:tcPr>
            <w:tcW w:w="3600" w:type="dxa"/>
            <w:vAlign w:val="bottom"/>
          </w:tcPr>
          <w:p>
            <w:pPr>
              <w:jc w:val="center"/>
              <w:ind w:left="119"/>
              <w:spacing w:after="0"/>
              <w:rPr>
                <w:sz w:val="20"/>
                <w:szCs w:val="20"/>
                <w:color w:val="auto"/>
              </w:rPr>
            </w:pPr>
            <w:r>
              <w:rPr>
                <w:rFonts w:ascii="Arial" w:cs="Arial" w:eastAsia="Arial" w:hAnsi="Arial"/>
                <w:sz w:val="16"/>
                <w:szCs w:val="16"/>
                <w:b w:val="1"/>
                <w:bCs w:val="1"/>
                <w:color w:val="auto"/>
                <w:w w:val="93"/>
              </w:rPr>
              <w:t>Roadzen, Inc.</w:t>
            </w:r>
          </w:p>
        </w:tc>
        <w:tc>
          <w:tcPr>
            <w:tcW w:w="3020" w:type="dxa"/>
            <w:vAlign w:val="bottom"/>
          </w:tcPr>
          <w:p>
            <w:pPr>
              <w:jc w:val="center"/>
              <w:ind w:left="759"/>
              <w:spacing w:after="0"/>
              <w:rPr>
                <w:sz w:val="20"/>
                <w:szCs w:val="20"/>
                <w:color w:val="auto"/>
              </w:rPr>
            </w:pPr>
            <w:r>
              <w:rPr>
                <w:rFonts w:ascii="Arial" w:cs="Arial" w:eastAsia="Arial" w:hAnsi="Arial"/>
                <w:sz w:val="16"/>
                <w:szCs w:val="16"/>
                <w:b w:val="1"/>
                <w:bCs w:val="1"/>
                <w:color w:val="auto"/>
                <w:w w:val="91"/>
              </w:rPr>
              <w:t>1050 Connecticut Avenue, N.W.</w:t>
            </w:r>
          </w:p>
        </w:tc>
      </w:tr>
      <w:tr>
        <w:trPr>
          <w:trHeight w:val="203"/>
        </w:trPr>
        <w:tc>
          <w:tcPr>
            <w:tcW w:w="2680" w:type="dxa"/>
            <w:vAlign w:val="bottom"/>
          </w:tcPr>
          <w:p>
            <w:pPr>
              <w:jc w:val="center"/>
              <w:ind w:right="939"/>
              <w:spacing w:after="0"/>
              <w:rPr>
                <w:sz w:val="20"/>
                <w:szCs w:val="20"/>
                <w:color w:val="auto"/>
              </w:rPr>
            </w:pPr>
            <w:r>
              <w:rPr>
                <w:rFonts w:ascii="Arial" w:cs="Arial" w:eastAsia="Arial" w:hAnsi="Arial"/>
                <w:sz w:val="16"/>
                <w:szCs w:val="16"/>
                <w:b w:val="1"/>
                <w:bCs w:val="1"/>
                <w:color w:val="auto"/>
                <w:w w:val="96"/>
              </w:rPr>
              <w:t>Winston &amp; Strawn LLP</w:t>
            </w:r>
          </w:p>
        </w:tc>
        <w:tc>
          <w:tcPr>
            <w:tcW w:w="3600" w:type="dxa"/>
            <w:vAlign w:val="bottom"/>
          </w:tcPr>
          <w:p>
            <w:pPr>
              <w:jc w:val="center"/>
              <w:ind w:left="119"/>
              <w:spacing w:after="0"/>
              <w:rPr>
                <w:sz w:val="20"/>
                <w:szCs w:val="20"/>
                <w:color w:val="auto"/>
              </w:rPr>
            </w:pPr>
            <w:r>
              <w:rPr>
                <w:rFonts w:ascii="Arial" w:cs="Arial" w:eastAsia="Arial" w:hAnsi="Arial"/>
                <w:sz w:val="16"/>
                <w:szCs w:val="16"/>
                <w:b w:val="1"/>
                <w:bCs w:val="1"/>
                <w:color w:val="auto"/>
                <w:w w:val="91"/>
              </w:rPr>
              <w:t>111 Anza Blvd., Suite 109</w:t>
            </w:r>
          </w:p>
        </w:tc>
        <w:tc>
          <w:tcPr>
            <w:tcW w:w="3020" w:type="dxa"/>
            <w:vAlign w:val="bottom"/>
          </w:tcPr>
          <w:p>
            <w:pPr>
              <w:jc w:val="center"/>
              <w:ind w:left="759"/>
              <w:spacing w:after="0"/>
              <w:rPr>
                <w:sz w:val="20"/>
                <w:szCs w:val="20"/>
                <w:color w:val="auto"/>
              </w:rPr>
            </w:pPr>
            <w:r>
              <w:rPr>
                <w:rFonts w:ascii="Arial" w:cs="Arial" w:eastAsia="Arial" w:hAnsi="Arial"/>
                <w:sz w:val="16"/>
                <w:szCs w:val="16"/>
                <w:b w:val="1"/>
                <w:bCs w:val="1"/>
                <w:color w:val="auto"/>
                <w:w w:val="91"/>
              </w:rPr>
              <w:t>Washington, DC 20036</w:t>
            </w:r>
          </w:p>
        </w:tc>
      </w:tr>
      <w:tr>
        <w:trPr>
          <w:trHeight w:val="203"/>
        </w:trPr>
        <w:tc>
          <w:tcPr>
            <w:tcW w:w="2680" w:type="dxa"/>
            <w:vAlign w:val="bottom"/>
          </w:tcPr>
          <w:p>
            <w:pPr>
              <w:jc w:val="center"/>
              <w:ind w:right="939"/>
              <w:spacing w:after="0"/>
              <w:rPr>
                <w:sz w:val="20"/>
                <w:szCs w:val="20"/>
                <w:color w:val="auto"/>
              </w:rPr>
            </w:pPr>
            <w:r>
              <w:rPr>
                <w:rFonts w:ascii="Arial" w:cs="Arial" w:eastAsia="Arial" w:hAnsi="Arial"/>
                <w:sz w:val="16"/>
                <w:szCs w:val="16"/>
                <w:b w:val="1"/>
                <w:bCs w:val="1"/>
                <w:color w:val="auto"/>
                <w:w w:val="92"/>
              </w:rPr>
              <w:t>200 Park Avenue</w:t>
            </w:r>
          </w:p>
        </w:tc>
        <w:tc>
          <w:tcPr>
            <w:tcW w:w="3600" w:type="dxa"/>
            <w:vAlign w:val="bottom"/>
          </w:tcPr>
          <w:p>
            <w:pPr>
              <w:jc w:val="center"/>
              <w:ind w:left="99"/>
              <w:spacing w:after="0"/>
              <w:rPr>
                <w:sz w:val="20"/>
                <w:szCs w:val="20"/>
                <w:color w:val="auto"/>
              </w:rPr>
            </w:pPr>
            <w:r>
              <w:rPr>
                <w:rFonts w:ascii="Arial" w:cs="Arial" w:eastAsia="Arial" w:hAnsi="Arial"/>
                <w:sz w:val="16"/>
                <w:szCs w:val="16"/>
                <w:b w:val="1"/>
                <w:bCs w:val="1"/>
                <w:color w:val="auto"/>
                <w:w w:val="93"/>
              </w:rPr>
              <w:t>Burlingame, CA 94010</w:t>
            </w:r>
          </w:p>
        </w:tc>
        <w:tc>
          <w:tcPr>
            <w:tcW w:w="3020" w:type="dxa"/>
            <w:vAlign w:val="bottom"/>
          </w:tcPr>
          <w:p>
            <w:pPr>
              <w:jc w:val="center"/>
              <w:ind w:left="759"/>
              <w:spacing w:after="0"/>
              <w:rPr>
                <w:sz w:val="20"/>
                <w:szCs w:val="20"/>
                <w:color w:val="auto"/>
              </w:rPr>
            </w:pPr>
            <w:r>
              <w:rPr>
                <w:rFonts w:ascii="Arial" w:cs="Arial" w:eastAsia="Arial" w:hAnsi="Arial"/>
                <w:sz w:val="16"/>
                <w:szCs w:val="16"/>
                <w:b w:val="1"/>
                <w:bCs w:val="1"/>
                <w:color w:val="auto"/>
                <w:w w:val="91"/>
              </w:rPr>
              <w:t>Tel: (202) 955-8500</w:t>
            </w:r>
          </w:p>
        </w:tc>
      </w:tr>
      <w:tr>
        <w:trPr>
          <w:trHeight w:val="203"/>
        </w:trPr>
        <w:tc>
          <w:tcPr>
            <w:tcW w:w="2680" w:type="dxa"/>
            <w:vAlign w:val="bottom"/>
          </w:tcPr>
          <w:p>
            <w:pPr>
              <w:jc w:val="center"/>
              <w:ind w:right="939"/>
              <w:spacing w:after="0"/>
              <w:rPr>
                <w:sz w:val="20"/>
                <w:szCs w:val="20"/>
                <w:color w:val="auto"/>
              </w:rPr>
            </w:pPr>
            <w:r>
              <w:rPr>
                <w:rFonts w:ascii="Arial" w:cs="Arial" w:eastAsia="Arial" w:hAnsi="Arial"/>
                <w:sz w:val="16"/>
                <w:szCs w:val="16"/>
                <w:b w:val="1"/>
                <w:bCs w:val="1"/>
                <w:color w:val="auto"/>
                <w:w w:val="95"/>
              </w:rPr>
              <w:t>New York, NY 10166</w:t>
            </w:r>
          </w:p>
        </w:tc>
        <w:tc>
          <w:tcPr>
            <w:tcW w:w="360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Tel: (650) 414-3530</w:t>
            </w:r>
          </w:p>
        </w:tc>
        <w:tc>
          <w:tcPr>
            <w:tcW w:w="3020" w:type="dxa"/>
            <w:vAlign w:val="bottom"/>
          </w:tcPr>
          <w:p>
            <w:pPr>
              <w:spacing w:after="0"/>
              <w:rPr>
                <w:sz w:val="17"/>
                <w:szCs w:val="17"/>
                <w:color w:val="auto"/>
              </w:rPr>
            </w:pPr>
          </w:p>
        </w:tc>
      </w:tr>
      <w:tr>
        <w:trPr>
          <w:trHeight w:val="210"/>
        </w:trPr>
        <w:tc>
          <w:tcPr>
            <w:tcW w:w="2680" w:type="dxa"/>
            <w:vAlign w:val="bottom"/>
          </w:tcPr>
          <w:p>
            <w:pPr>
              <w:jc w:val="center"/>
              <w:ind w:right="959"/>
              <w:spacing w:after="0"/>
              <w:rPr>
                <w:sz w:val="20"/>
                <w:szCs w:val="20"/>
                <w:color w:val="auto"/>
              </w:rPr>
            </w:pPr>
            <w:r>
              <w:rPr>
                <w:rFonts w:ascii="Arial" w:cs="Arial" w:eastAsia="Arial" w:hAnsi="Arial"/>
                <w:sz w:val="16"/>
                <w:szCs w:val="16"/>
                <w:b w:val="1"/>
                <w:bCs w:val="1"/>
                <w:color w:val="auto"/>
                <w:w w:val="92"/>
              </w:rPr>
              <w:t>Tel: (212) 294-6700</w:t>
            </w:r>
          </w:p>
        </w:tc>
        <w:tc>
          <w:tcPr>
            <w:tcW w:w="3600" w:type="dxa"/>
            <w:vAlign w:val="bottom"/>
          </w:tcPr>
          <w:p>
            <w:pPr>
              <w:spacing w:after="0"/>
              <w:rPr>
                <w:sz w:val="18"/>
                <w:szCs w:val="18"/>
                <w:color w:val="auto"/>
              </w:rPr>
            </w:pPr>
          </w:p>
        </w:tc>
        <w:tc>
          <w:tcPr>
            <w:tcW w:w="30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235585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right="720" w:firstLine="440"/>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w:t>
      </w:r>
      <w:r>
        <w:rPr>
          <w:rFonts w:ascii="Arial" w:cs="Arial" w:eastAsia="Arial" w:hAnsi="Arial"/>
          <w:sz w:val="18"/>
          <w:szCs w:val="18"/>
          <w:color w:val="auto"/>
        </w:rPr>
        <w:t>: As soon as practicable after this Registration Statement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w:t>
      </w:r>
    </w:p>
    <w:p>
      <w:pPr>
        <w:spacing w:after="0" w:line="166" w:lineRule="exact"/>
        <w:rPr>
          <w:sz w:val="24"/>
          <w:szCs w:val="24"/>
          <w:color w:val="auto"/>
        </w:rPr>
      </w:pPr>
    </w:p>
    <w:p>
      <w:pPr>
        <w:ind w:right="260" w:firstLine="440"/>
        <w:spacing w:after="0" w:line="238" w:lineRule="exact"/>
        <w:rPr>
          <w:sz w:val="20"/>
          <w:szCs w:val="20"/>
          <w:color w:val="auto"/>
        </w:rPr>
      </w:pPr>
      <w:r>
        <w:rPr>
          <w:rFonts w:ascii="Arial" w:cs="Arial" w:eastAsia="Arial" w:hAnsi="Arial"/>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174" w:lineRule="exact"/>
        <w:rPr>
          <w:sz w:val="24"/>
          <w:szCs w:val="24"/>
          <w:color w:val="auto"/>
        </w:rPr>
      </w:pPr>
    </w:p>
    <w:p>
      <w:pPr>
        <w:ind w:right="160" w:firstLine="440"/>
        <w:spacing w:after="0" w:line="238"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74" w:lineRule="exact"/>
        <w:rPr>
          <w:sz w:val="24"/>
          <w:szCs w:val="24"/>
          <w:color w:val="auto"/>
        </w:rPr>
      </w:pPr>
    </w:p>
    <w:p>
      <w:pPr>
        <w:ind w:right="180" w:firstLine="440"/>
        <w:spacing w:after="0" w:line="238"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4" w:lineRule="exact"/>
        <w:rPr>
          <w:sz w:val="24"/>
          <w:szCs w:val="24"/>
          <w:color w:val="auto"/>
        </w:rPr>
      </w:pPr>
    </w:p>
    <w:p>
      <w:pPr>
        <w:ind w:right="80" w:firstLine="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901" w:orient="portrait"/>
          <w:cols w:equalWidth="0" w:num="1">
            <w:col w:w="11020"/>
          </w:cols>
          <w:pgMar w:left="440" w:top="229" w:right="439" w:bottom="0" w:gutter="0" w:footer="0" w:header="0"/>
        </w:sectPr>
      </w:pPr>
    </w:p>
    <w:p>
      <w:pPr>
        <w:spacing w:after="0" w:line="238" w:lineRule="exact"/>
        <w:rPr>
          <w:sz w:val="24"/>
          <w:szCs w:val="24"/>
          <w:color w:val="auto"/>
        </w:rPr>
      </w:pPr>
    </w:p>
    <w:p>
      <w:pPr>
        <w:spacing w:after="0" w:line="377"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ectPr>
          <w:pgSz w:w="11900" w:h="16901" w:orient="portrait"/>
          <w:cols w:equalWidth="0" w:num="4">
            <w:col w:w="1620" w:space="380"/>
            <w:col w:w="5760" w:space="720"/>
            <w:col w:w="1980" w:space="340"/>
            <w:col w:w="220"/>
          </w:cols>
          <w:pgMar w:left="440" w:top="229"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69" w:lineRule="exact"/>
        <w:rPr>
          <w:sz w:val="20"/>
          <w:szCs w:val="20"/>
          <w:color w:val="auto"/>
        </w:rPr>
      </w:pPr>
    </w:p>
    <w:p>
      <w:pPr>
        <w:ind w:right="100" w:firstLine="44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31"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If applicable, place an </w:t>
      </w:r>
      <w:r>
        <w:rPr>
          <w:rFonts w:ascii="MS PGothic" w:cs="MS PGothic" w:eastAsia="MS PGothic" w:hAnsi="MS PGothic"/>
          <w:sz w:val="18"/>
          <w:szCs w:val="18"/>
          <w:color w:val="auto"/>
        </w:rPr>
        <w:t>☒</w:t>
      </w:r>
      <w:r>
        <w:rPr>
          <w:rFonts w:ascii="Arial" w:cs="Arial" w:eastAsia="Arial" w:hAnsi="Arial"/>
          <w:sz w:val="18"/>
          <w:szCs w:val="18"/>
          <w:color w:val="auto"/>
        </w:rPr>
        <w:t xml:space="preserve"> in the box to designate the appropriate rule provision relied upon in conducting this transaction:</w:t>
      </w:r>
    </w:p>
    <w:p>
      <w:pPr>
        <w:spacing w:after="0" w:line="225"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Exchange Act Rule 13e-4(i) (Cross-Border Issuer Tender Offer) </w:t>
      </w:r>
      <w:r>
        <w:rPr>
          <w:rFonts w:ascii="MS PGothic" w:cs="MS PGothic" w:eastAsia="MS PGothic" w:hAnsi="MS PGothic"/>
          <w:sz w:val="18"/>
          <w:szCs w:val="18"/>
          <w:color w:val="auto"/>
        </w:rPr>
        <w:t>☐</w:t>
      </w:r>
    </w:p>
    <w:p>
      <w:pPr>
        <w:spacing w:after="0" w:line="225" w:lineRule="exact"/>
        <w:rPr>
          <w:sz w:val="20"/>
          <w:szCs w:val="20"/>
          <w:color w:val="auto"/>
        </w:rPr>
      </w:pPr>
    </w:p>
    <w:p>
      <w:pPr>
        <w:ind w:left="440"/>
        <w:spacing w:after="0" w:line="207" w:lineRule="exact"/>
        <w:rPr>
          <w:sz w:val="20"/>
          <w:szCs w:val="20"/>
          <w:color w:val="auto"/>
        </w:rPr>
      </w:pPr>
      <w:r>
        <w:rPr>
          <w:rFonts w:ascii="Arial" w:cs="Arial" w:eastAsia="Arial" w:hAnsi="Arial"/>
          <w:sz w:val="18"/>
          <w:szCs w:val="18"/>
          <w:color w:val="auto"/>
        </w:rPr>
        <w:t xml:space="preserve">Exchange Act Rule 14d-1(d) (Cross-Border Third-Party Tender Offer)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274955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81" w:right="4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Vahanna Tech Edge Acquisition I Corp. is filing this Amendment No. 4 to its registration statement on Form S-4 (File No. 333-269747) (the ‘‘Registration Statement”) as an exhibits-only filing. Accordingly, this amendment consists only of the facing page, this explanatory note, Item 21 of Part II of the Registration Statement, the signature page to the Registration Statement and the filed exhibits. The remainder of the Registration Statement is unchanged and has therefore been omitted.</w:t>
      </w:r>
    </w:p>
    <w:p>
      <w:pPr>
        <w:sectPr>
          <w:pgSz w:w="11900" w:h="16838" w:orient="portrait"/>
          <w:cols w:equalWidth="0" w:num="1">
            <w:col w:w="10980"/>
          </w:cols>
          <w:pgMar w:left="440" w:top="270"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II</w:t>
      </w:r>
    </w:p>
    <w:p>
      <w:pPr>
        <w:spacing w:after="0" w:line="225" w:lineRule="exact"/>
        <w:rPr>
          <w:sz w:val="20"/>
          <w:szCs w:val="20"/>
          <w:color w:val="auto"/>
        </w:rPr>
      </w:pPr>
    </w:p>
    <w:p>
      <w:pPr>
        <w:ind w:right="3440" w:firstLine="3435"/>
        <w:spacing w:after="0" w:line="380" w:lineRule="auto"/>
        <w:rPr>
          <w:sz w:val="20"/>
          <w:szCs w:val="20"/>
          <w:color w:val="auto"/>
        </w:rPr>
      </w:pPr>
      <w:r>
        <w:rPr>
          <w:rFonts w:ascii="Arial" w:cs="Arial" w:eastAsia="Arial" w:hAnsi="Arial"/>
          <w:sz w:val="18"/>
          <w:szCs w:val="18"/>
          <w:b w:val="1"/>
          <w:bCs w:val="1"/>
          <w:color w:val="auto"/>
        </w:rPr>
        <w:t>INFORMATION NOT REQUIRED IN ROSPECTUS Item 21. Exhibits and Financial Statement Schedules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5740" w:type="dxa"/>
            <w:vAlign w:val="bottom"/>
            <w:tcBorders>
              <w:bottom w:val="single" w:sz="8" w:color="auto"/>
            </w:tcBorders>
            <w:gridSpan w:val="32"/>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20" w:type="dxa"/>
            <w:vAlign w:val="bottom"/>
            <w:gridSpan w:val="2"/>
          </w:tcPr>
          <w:p>
            <w:pPr>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3"/>
                <w:szCs w:val="23"/>
                <w:color w:val="auto"/>
              </w:rPr>
            </w:pPr>
          </w:p>
        </w:tc>
        <w:tc>
          <w:tcPr>
            <w:tcW w:w="9900" w:type="dxa"/>
            <w:vAlign w:val="bottom"/>
            <w:tcBorders>
              <w:bottom w:val="single" w:sz="8" w:color="0000EE"/>
            </w:tcBorders>
            <w:gridSpan w:val="39"/>
          </w:tcPr>
          <w:p>
            <w:pPr>
              <w:spacing w:after="0"/>
              <w:rPr>
                <w:rFonts w:ascii="Arial" w:cs="Arial" w:eastAsia="Arial" w:hAnsi="Arial"/>
                <w:sz w:val="18"/>
                <w:szCs w:val="18"/>
                <w:color w:val="0000EE"/>
                <w:w w:val="90"/>
              </w:rPr>
            </w:pPr>
            <w:hyperlink r:id="rId21">
              <w:r>
                <w:rPr>
                  <w:rFonts w:ascii="Arial" w:cs="Arial" w:eastAsia="Arial" w:hAnsi="Arial"/>
                  <w:sz w:val="18"/>
                  <w:szCs w:val="18"/>
                  <w:color w:val="0000EE"/>
                  <w:w w:val="90"/>
                </w:rPr>
                <w:t>Agreement and Plan of Merger, dated as of February 10, 2023 (included as Annex A to the proxy statement/prospectus, which is a part of</w:t>
              </w:r>
            </w:hyperlink>
          </w:p>
        </w:tc>
        <w:tc>
          <w:tcPr>
            <w:tcW w:w="220" w:type="dxa"/>
            <w:vAlign w:val="bottom"/>
            <w:gridSpan w:val="5"/>
          </w:tcPr>
          <w:p>
            <w:pPr>
              <w:spacing w:after="0"/>
              <w:rPr>
                <w:sz w:val="23"/>
                <w:szCs w:val="23"/>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21">
              <w:r>
                <w:rPr>
                  <w:rFonts w:ascii="Arial" w:cs="Arial" w:eastAsia="Arial" w:hAnsi="Arial"/>
                  <w:sz w:val="18"/>
                  <w:szCs w:val="18"/>
                  <w:color w:val="0000EE"/>
                  <w:w w:val="89"/>
                </w:rPr>
                <w:t>this Registration Statement).</w:t>
              </w:r>
            </w:hyperlink>
          </w:p>
        </w:tc>
        <w:tc>
          <w:tcPr>
            <w:tcW w:w="8060" w:type="dxa"/>
            <w:vAlign w:val="bottom"/>
            <w:gridSpan w:val="37"/>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4"/>
                <w:szCs w:val="24"/>
                <w:color w:val="auto"/>
              </w:rPr>
            </w:pPr>
          </w:p>
        </w:tc>
        <w:tc>
          <w:tcPr>
            <w:tcW w:w="9860" w:type="dxa"/>
            <w:vAlign w:val="bottom"/>
            <w:tcBorders>
              <w:bottom w:val="single" w:sz="8" w:color="0000EE"/>
            </w:tcBorders>
            <w:gridSpan w:val="3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Securities Purchase Agreement by and among Roadzen, Inc., National Automobile Club and National Automobile Club Employee Stock</w:t>
              </w:r>
            </w:hyperlink>
          </w:p>
        </w:tc>
        <w:tc>
          <w:tcPr>
            <w:tcW w:w="260" w:type="dxa"/>
            <w:vAlign w:val="bottom"/>
            <w:gridSpan w:val="6"/>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2">
              <w:r>
                <w:rPr>
                  <w:rFonts w:ascii="Arial" w:cs="Arial" w:eastAsia="Arial" w:hAnsi="Arial"/>
                  <w:sz w:val="18"/>
                  <w:szCs w:val="18"/>
                  <w:color w:val="0000EE"/>
                  <w:w w:val="89"/>
                </w:rPr>
                <w:t>Ownership Trust, dated as of August 4, 2022.</w:t>
              </w:r>
            </w:hyperlink>
          </w:p>
        </w:tc>
        <w:tc>
          <w:tcPr>
            <w:tcW w:w="6840" w:type="dxa"/>
            <w:vAlign w:val="bottom"/>
            <w:gridSpan w:val="34"/>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rPr>
            </w:pPr>
            <w:hyperlink r:id="rId23">
              <w:r>
                <w:rPr>
                  <w:rFonts w:ascii="Arial" w:cs="Arial" w:eastAsia="Arial" w:hAnsi="Arial"/>
                  <w:sz w:val="18"/>
                  <w:szCs w:val="18"/>
                  <w:color w:val="0000EE"/>
                </w:rPr>
                <w:t>Share Purchase Agreement between AXA Partners Holdings S.A. and Roadzen Inc. dated as of June 8, 2022.</w:t>
              </w:r>
            </w:hyperlink>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24"/>
                <w:szCs w:val="24"/>
                <w:color w:val="auto"/>
              </w:rPr>
            </w:pPr>
          </w:p>
        </w:tc>
        <w:tc>
          <w:tcPr>
            <w:tcW w:w="560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r:id="rId24">
              <w:r>
                <w:rPr>
                  <w:rFonts w:ascii="Arial" w:cs="Arial" w:eastAsia="Arial" w:hAnsi="Arial"/>
                  <w:sz w:val="18"/>
                  <w:szCs w:val="18"/>
                  <w:color w:val="0000EE"/>
                  <w:w w:val="89"/>
                </w:rPr>
                <w:t>Amendment to the Agreement and Plan of Merger, dated as of June 29, 2023.</w:t>
              </w:r>
            </w:hyperlink>
          </w:p>
        </w:tc>
        <w:tc>
          <w:tcPr>
            <w:tcW w:w="2260" w:type="dxa"/>
            <w:vAlign w:val="bottom"/>
            <w:tcBorders>
              <w:top w:val="single" w:sz="8" w:color="0000EE"/>
            </w:tcBorders>
            <w:gridSpan w:val="3"/>
          </w:tcPr>
          <w:p>
            <w:pPr>
              <w:spacing w:after="0"/>
              <w:rPr>
                <w:sz w:val="24"/>
                <w:szCs w:val="24"/>
                <w:color w:val="auto"/>
              </w:rPr>
            </w:pPr>
          </w:p>
        </w:tc>
        <w:tc>
          <w:tcPr>
            <w:tcW w:w="2260" w:type="dxa"/>
            <w:vAlign w:val="bottom"/>
            <w:gridSpan w:val="25"/>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Memorandum and Articles of Association of Registrant (incorporated by reference to Exhibit 3.1 to the Registration Statement on Form S-1</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(333-260748), filed by the Registrant on November 4, 2021).</w:t>
              </w:r>
            </w:hyperlink>
          </w:p>
        </w:tc>
        <w:tc>
          <w:tcPr>
            <w:tcW w:w="40" w:type="dxa"/>
            <w:vAlign w:val="bottom"/>
            <w:gridSpan w:val="2"/>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4"/>
              </w:rPr>
            </w:pPr>
            <w:hyperlink r:id="rId26">
              <w:r>
                <w:rPr>
                  <w:rFonts w:ascii="Arial" w:cs="Arial" w:eastAsia="Arial" w:hAnsi="Arial"/>
                  <w:sz w:val="18"/>
                  <w:szCs w:val="18"/>
                  <w:color w:val="0000EE"/>
                  <w:w w:val="94"/>
                </w:rPr>
                <w:t>Amended and Restated Memorandum and Articles of Association of Registrant (incorporated by reference to Exhibit 3.1 to the Current</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26">
              <w:r>
                <w:rPr>
                  <w:rFonts w:ascii="Arial" w:cs="Arial" w:eastAsia="Arial" w:hAnsi="Arial"/>
                  <w:sz w:val="18"/>
                  <w:szCs w:val="18"/>
                  <w:color w:val="0000EE"/>
                </w:rPr>
                <w:t>Report on Form 8-K (001-41094), filed by the Registrant on November 29, 2021).</w:t>
              </w:r>
            </w:hyperlink>
          </w:p>
        </w:tc>
        <w:tc>
          <w:tcPr>
            <w:tcW w:w="380" w:type="dxa"/>
            <w:vAlign w:val="bottom"/>
            <w:gridSpan w:val="10"/>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3.3*</w:t>
            </w:r>
          </w:p>
        </w:tc>
        <w:tc>
          <w:tcPr>
            <w:tcW w:w="380" w:type="dxa"/>
            <w:vAlign w:val="bottom"/>
          </w:tcPr>
          <w:p>
            <w:pPr>
              <w:spacing w:after="0"/>
              <w:rPr>
                <w:sz w:val="24"/>
                <w:szCs w:val="24"/>
                <w:color w:val="auto"/>
              </w:rPr>
            </w:pPr>
          </w:p>
        </w:tc>
        <w:tc>
          <w:tcPr>
            <w:tcW w:w="8520" w:type="dxa"/>
            <w:vAlign w:val="bottom"/>
            <w:tcBorders>
              <w:bottom w:val="single" w:sz="8" w:color="0000EE"/>
            </w:tcBorders>
            <w:gridSpan w:val="20"/>
          </w:tcPr>
          <w:p>
            <w:pPr>
              <w:spacing w:after="0"/>
              <w:rPr>
                <w:rFonts w:ascii="Arial" w:cs="Arial" w:eastAsia="Arial" w:hAnsi="Arial"/>
                <w:sz w:val="18"/>
                <w:szCs w:val="18"/>
                <w:color w:val="0000EE"/>
                <w:w w:val="91"/>
              </w:rPr>
            </w:pPr>
            <w:hyperlink r:id="rId27">
              <w:r>
                <w:rPr>
                  <w:rFonts w:ascii="Arial" w:cs="Arial" w:eastAsia="Arial" w:hAnsi="Arial"/>
                  <w:sz w:val="18"/>
                  <w:szCs w:val="18"/>
                  <w:color w:val="0000EE"/>
                  <w:w w:val="91"/>
                </w:rPr>
                <w:t>Amended and Restated Memorandum and Articles of Association of New Roadzen (included as Annex B to the proxy</w:t>
              </w:r>
            </w:hyperlink>
          </w:p>
        </w:tc>
        <w:tc>
          <w:tcPr>
            <w:tcW w:w="1600" w:type="dxa"/>
            <w:vAlign w:val="bottom"/>
            <w:gridSpan w:val="24"/>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statement/prospectus, which is a part of this Registration Statement).</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3.4*</w:t>
            </w:r>
          </w:p>
        </w:tc>
        <w:tc>
          <w:tcPr>
            <w:tcW w:w="380" w:type="dxa"/>
            <w:vAlign w:val="bottom"/>
          </w:tcPr>
          <w:p>
            <w:pPr>
              <w:spacing w:after="0"/>
              <w:rPr>
                <w:sz w:val="24"/>
                <w:szCs w:val="24"/>
                <w:color w:val="auto"/>
              </w:rPr>
            </w:pPr>
          </w:p>
        </w:tc>
        <w:tc>
          <w:tcPr>
            <w:tcW w:w="9820" w:type="dxa"/>
            <w:vAlign w:val="bottom"/>
            <w:tcBorders>
              <w:bottom w:val="single" w:sz="8" w:color="0000EE"/>
            </w:tcBorders>
            <w:gridSpan w:val="37"/>
          </w:tcPr>
          <w:p>
            <w:pPr>
              <w:spacing w:after="0"/>
              <w:rPr>
                <w:rFonts w:ascii="Arial" w:cs="Arial" w:eastAsia="Arial" w:hAnsi="Arial"/>
                <w:sz w:val="18"/>
                <w:szCs w:val="18"/>
                <w:color w:val="0000EE"/>
                <w:w w:val="91"/>
              </w:rPr>
            </w:pPr>
            <w:hyperlink r:id="rId28">
              <w:r>
                <w:rPr>
                  <w:rFonts w:ascii="Arial" w:cs="Arial" w:eastAsia="Arial" w:hAnsi="Arial"/>
                  <w:sz w:val="18"/>
                  <w:szCs w:val="18"/>
                  <w:color w:val="0000EE"/>
                  <w:w w:val="91"/>
                </w:rPr>
                <w:t>Certificate of Incorporation of New Roadzen (included as Annex I to the proxy statement/prospectus, which is a part of this Registration</w:t>
              </w:r>
            </w:hyperlink>
          </w:p>
        </w:tc>
        <w:tc>
          <w:tcPr>
            <w:tcW w:w="300" w:type="dxa"/>
            <w:vAlign w:val="bottom"/>
            <w:gridSpan w:val="7"/>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28">
              <w:r>
                <w:rPr>
                  <w:rFonts w:ascii="Arial" w:cs="Arial" w:eastAsia="Arial" w:hAnsi="Arial"/>
                  <w:sz w:val="18"/>
                  <w:szCs w:val="18"/>
                  <w:color w:val="0000EE"/>
                </w:rPr>
                <w:t>Statement).</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3.5*</w:t>
            </w:r>
          </w:p>
        </w:tc>
        <w:tc>
          <w:tcPr>
            <w:tcW w:w="380" w:type="dxa"/>
            <w:vAlign w:val="bottom"/>
          </w:tcPr>
          <w:p>
            <w:pPr>
              <w:spacing w:after="0"/>
              <w:rPr>
                <w:sz w:val="24"/>
                <w:szCs w:val="24"/>
                <w:color w:val="auto"/>
              </w:rPr>
            </w:pPr>
          </w:p>
        </w:tc>
        <w:tc>
          <w:tcPr>
            <w:tcW w:w="9800" w:type="dxa"/>
            <w:vAlign w:val="bottom"/>
            <w:tcBorders>
              <w:bottom w:val="single" w:sz="8" w:color="0000EE"/>
            </w:tcBorders>
            <w:gridSpan w:val="36"/>
          </w:tcPr>
          <w:p>
            <w:pPr>
              <w:spacing w:after="0"/>
              <w:rPr>
                <w:rFonts w:ascii="Arial" w:cs="Arial" w:eastAsia="Arial" w:hAnsi="Arial"/>
                <w:sz w:val="18"/>
                <w:szCs w:val="18"/>
                <w:color w:val="0000EE"/>
                <w:w w:val="90"/>
              </w:rPr>
            </w:pPr>
            <w:hyperlink r:id="rId29">
              <w:r>
                <w:rPr>
                  <w:rFonts w:ascii="Arial" w:cs="Arial" w:eastAsia="Arial" w:hAnsi="Arial"/>
                  <w:sz w:val="18"/>
                  <w:szCs w:val="18"/>
                  <w:color w:val="0000EE"/>
                  <w:w w:val="90"/>
                </w:rPr>
                <w:t>Amended and Restated Certificate of Incorporation of New Roadzen (included as Annex J to the proxy statement/prospectus, which is a</w:t>
              </w:r>
            </w:hyperlink>
          </w:p>
        </w:tc>
        <w:tc>
          <w:tcPr>
            <w:tcW w:w="320" w:type="dxa"/>
            <w:vAlign w:val="bottom"/>
            <w:gridSpan w:val="8"/>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5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29">
              <w:r>
                <w:rPr>
                  <w:rFonts w:ascii="Arial" w:cs="Arial" w:eastAsia="Arial" w:hAnsi="Arial"/>
                  <w:sz w:val="18"/>
                  <w:szCs w:val="18"/>
                  <w:color w:val="0000EE"/>
                  <w:w w:val="90"/>
                </w:rPr>
                <w:t>part of this Registration Statement).</w:t>
              </w:r>
            </w:hyperlink>
          </w:p>
        </w:tc>
        <w:tc>
          <w:tcPr>
            <w:tcW w:w="7540" w:type="dxa"/>
            <w:vAlign w:val="bottom"/>
            <w:gridSpan w:val="36"/>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3.6*</w:t>
            </w:r>
          </w:p>
        </w:tc>
        <w:tc>
          <w:tcPr>
            <w:tcW w:w="380" w:type="dxa"/>
            <w:vAlign w:val="bottom"/>
          </w:tcPr>
          <w:p>
            <w:pPr>
              <w:spacing w:after="0"/>
              <w:rPr>
                <w:sz w:val="24"/>
                <w:szCs w:val="24"/>
                <w:color w:val="auto"/>
              </w:rPr>
            </w:pPr>
          </w:p>
        </w:tc>
        <w:tc>
          <w:tcPr>
            <w:tcW w:w="9320" w:type="dxa"/>
            <w:vAlign w:val="bottom"/>
            <w:tcBorders>
              <w:bottom w:val="single" w:sz="8" w:color="0000EE"/>
            </w:tcBorders>
            <w:gridSpan w:val="24"/>
          </w:tcPr>
          <w:p>
            <w:pPr>
              <w:spacing w:after="0"/>
              <w:rPr>
                <w:rFonts w:ascii="Arial" w:cs="Arial" w:eastAsia="Arial" w:hAnsi="Arial"/>
                <w:sz w:val="18"/>
                <w:szCs w:val="18"/>
                <w:color w:val="0000EE"/>
                <w:w w:val="90"/>
              </w:rPr>
            </w:pPr>
            <w:hyperlink r:id="rId30">
              <w:r>
                <w:rPr>
                  <w:rFonts w:ascii="Arial" w:cs="Arial" w:eastAsia="Arial" w:hAnsi="Arial"/>
                  <w:sz w:val="18"/>
                  <w:szCs w:val="18"/>
                  <w:color w:val="0000EE"/>
                  <w:w w:val="90"/>
                </w:rPr>
                <w:t>Bylaws of New Roadzen (included as Annex K to the proxy statement/prospectus, which is a part of this Registration Statement).</w:t>
              </w:r>
            </w:hyperlink>
          </w:p>
        </w:tc>
        <w:tc>
          <w:tcPr>
            <w:tcW w:w="800" w:type="dxa"/>
            <w:vAlign w:val="bottom"/>
            <w:gridSpan w:val="20"/>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3"/>
              </w:rPr>
            </w:pPr>
            <w:hyperlink r:id="rId31">
              <w:r>
                <w:rPr>
                  <w:rFonts w:ascii="Arial" w:cs="Arial" w:eastAsia="Arial" w:hAnsi="Arial"/>
                  <w:sz w:val="18"/>
                  <w:szCs w:val="18"/>
                  <w:color w:val="0000EE"/>
                  <w:w w:val="93"/>
                </w:rPr>
                <w:t>Specimen Unit Certificate (Incorporated by reference to the corresponding exhibit to the Company’s Registration Statement on Form S-l</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20" w:type="dxa"/>
            <w:vAlign w:val="bottom"/>
            <w:tcBorders>
              <w:top w:val="single" w:sz="8" w:color="0000EE"/>
            </w:tcBorders>
            <w:gridSpan w:val="37"/>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(File No. 333-260748), filed with the SEC on November 4, 2021).</w:t>
              </w:r>
            </w:hyperlink>
          </w:p>
        </w:tc>
        <w:tc>
          <w:tcPr>
            <w:tcW w:w="300" w:type="dxa"/>
            <w:vAlign w:val="bottom"/>
            <w:gridSpan w:val="7"/>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4.2*</w:t>
            </w:r>
          </w:p>
        </w:tc>
        <w:tc>
          <w:tcPr>
            <w:tcW w:w="380" w:type="dxa"/>
            <w:vAlign w:val="bottom"/>
          </w:tcPr>
          <w:p>
            <w:pPr>
              <w:spacing w:after="0"/>
              <w:rPr>
                <w:sz w:val="24"/>
                <w:szCs w:val="24"/>
                <w:color w:val="auto"/>
              </w:rPr>
            </w:pPr>
          </w:p>
        </w:tc>
        <w:tc>
          <w:tcPr>
            <w:tcW w:w="9600" w:type="dxa"/>
            <w:vAlign w:val="bottom"/>
            <w:tcBorders>
              <w:bottom w:val="single" w:sz="8" w:color="0000EE"/>
            </w:tcBorders>
            <w:gridSpan w:val="31"/>
          </w:tcPr>
          <w:p>
            <w:pPr>
              <w:spacing w:after="0"/>
              <w:rPr>
                <w:rFonts w:ascii="Arial" w:cs="Arial" w:eastAsia="Arial" w:hAnsi="Arial"/>
                <w:sz w:val="18"/>
                <w:szCs w:val="18"/>
                <w:color w:val="0000EE"/>
                <w:w w:val="91"/>
              </w:rPr>
            </w:pPr>
            <w:hyperlink r:id="rId32">
              <w:r>
                <w:rPr>
                  <w:rFonts w:ascii="Arial" w:cs="Arial" w:eastAsia="Arial" w:hAnsi="Arial"/>
                  <w:sz w:val="18"/>
                  <w:szCs w:val="18"/>
                  <w:color w:val="0000EE"/>
                  <w:w w:val="91"/>
                </w:rPr>
                <w:t>Specimen Class A Ordinary Share Certificate (Incorporated by reference to the corresponding exhibit to the Company’s Registration</w:t>
              </w:r>
            </w:hyperlink>
          </w:p>
        </w:tc>
        <w:tc>
          <w:tcPr>
            <w:tcW w:w="520" w:type="dxa"/>
            <w:vAlign w:val="bottom"/>
            <w:gridSpan w:val="13"/>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5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32">
              <w:r>
                <w:rPr>
                  <w:rFonts w:ascii="Arial" w:cs="Arial" w:eastAsia="Arial" w:hAnsi="Arial"/>
                  <w:sz w:val="18"/>
                  <w:szCs w:val="18"/>
                  <w:color w:val="0000EE"/>
                  <w:w w:val="92"/>
                </w:rPr>
                <w:t>Statement on Form S-l (File No. 333-260748), filed with the SEC on November 4, 2021).</w:t>
              </w:r>
            </w:hyperlink>
          </w:p>
        </w:tc>
        <w:tc>
          <w:tcPr>
            <w:tcW w:w="3620" w:type="dxa"/>
            <w:vAlign w:val="bottom"/>
            <w:gridSpan w:val="26"/>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Specimen Warrant Certificate (Incorporated by reference to the corresponding exhibit to the Company’s Registration Statement on Form S-l</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8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r:id="rId33">
              <w:r>
                <w:rPr>
                  <w:rFonts w:ascii="Arial" w:cs="Arial" w:eastAsia="Arial" w:hAnsi="Arial"/>
                  <w:sz w:val="18"/>
                  <w:szCs w:val="18"/>
                  <w:color w:val="0000EE"/>
                </w:rPr>
                <w:t>(File No. 333-260748), filed with the SEC on November 4, 2021).</w:t>
              </w:r>
            </w:hyperlink>
          </w:p>
        </w:tc>
        <w:tc>
          <w:tcPr>
            <w:tcW w:w="40" w:type="dxa"/>
            <w:vAlign w:val="bottom"/>
            <w:gridSpan w:val="2"/>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4.4*</w:t>
            </w:r>
          </w:p>
        </w:tc>
        <w:tc>
          <w:tcPr>
            <w:tcW w:w="380" w:type="dxa"/>
            <w:vAlign w:val="bottom"/>
          </w:tcPr>
          <w:p>
            <w:pPr>
              <w:spacing w:after="0"/>
              <w:rPr>
                <w:sz w:val="24"/>
                <w:szCs w:val="24"/>
                <w:color w:val="auto"/>
              </w:rPr>
            </w:pPr>
          </w:p>
        </w:tc>
        <w:tc>
          <w:tcPr>
            <w:tcW w:w="9580" w:type="dxa"/>
            <w:vAlign w:val="bottom"/>
            <w:tcBorders>
              <w:bottom w:val="single" w:sz="8" w:color="0000EE"/>
            </w:tcBorders>
            <w:gridSpan w:val="30"/>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Warrant Agreement, dated November 22, 2021, by and between the Registrant and Continental Stock Transfer &amp; Trust Company, as</w:t>
              </w:r>
            </w:hyperlink>
          </w:p>
        </w:tc>
        <w:tc>
          <w:tcPr>
            <w:tcW w:w="540" w:type="dxa"/>
            <w:vAlign w:val="bottom"/>
            <w:gridSpan w:val="14"/>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w w:val="98"/>
              </w:rPr>
            </w:pPr>
            <w:hyperlink r:id="rId34">
              <w:r>
                <w:rPr>
                  <w:rFonts w:ascii="Arial" w:cs="Arial" w:eastAsia="Arial" w:hAnsi="Arial"/>
                  <w:sz w:val="18"/>
                  <w:szCs w:val="18"/>
                  <w:color w:val="0000EE"/>
                  <w:w w:val="98"/>
                </w:rPr>
                <w:t>warrant agent (incorporated by reference to Exhibit 4.1 to the Current Report on Form 8-K (001-41094) filed by the Registrant on</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4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November 26, 2021).</w:t>
              </w:r>
            </w:hyperlink>
          </w:p>
        </w:tc>
        <w:tc>
          <w:tcPr>
            <w:tcW w:w="780" w:type="dxa"/>
            <w:vAlign w:val="bottom"/>
            <w:gridSpan w:val="19"/>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4"/>
                <w:szCs w:val="24"/>
                <w:color w:val="auto"/>
              </w:rPr>
            </w:pPr>
          </w:p>
        </w:tc>
        <w:tc>
          <w:tcPr>
            <w:tcW w:w="5580" w:type="dxa"/>
            <w:vAlign w:val="bottom"/>
            <w:tcBorders>
              <w:bottom w:val="single" w:sz="8" w:color="0000EE"/>
            </w:tcBorders>
            <w:gridSpan w:val="15"/>
          </w:tcPr>
          <w:p>
            <w:pPr>
              <w:spacing w:after="0"/>
              <w:rPr>
                <w:rFonts w:ascii="Arial" w:cs="Arial" w:eastAsia="Arial" w:hAnsi="Arial"/>
                <w:sz w:val="18"/>
                <w:szCs w:val="18"/>
                <w:color w:val="0000EE"/>
                <w:w w:val="92"/>
              </w:rPr>
            </w:pPr>
            <w:hyperlink r:id="rId35">
              <w:r>
                <w:rPr>
                  <w:rFonts w:ascii="Arial" w:cs="Arial" w:eastAsia="Arial" w:hAnsi="Arial"/>
                  <w:sz w:val="18"/>
                  <w:szCs w:val="18"/>
                  <w:color w:val="0000EE"/>
                  <w:w w:val="92"/>
                </w:rPr>
                <w:t>Opinion of Maples &amp; Calder, British Virgin Islands counsel to the Registrant.</w:t>
              </w:r>
            </w:hyperlink>
          </w:p>
        </w:tc>
        <w:tc>
          <w:tcPr>
            <w:tcW w:w="4540" w:type="dxa"/>
            <w:vAlign w:val="bottom"/>
            <w:gridSpan w:val="29"/>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8.1*</w:t>
            </w:r>
          </w:p>
        </w:tc>
        <w:tc>
          <w:tcPr>
            <w:tcW w:w="380" w:type="dxa"/>
            <w:vAlign w:val="bottom"/>
          </w:tcPr>
          <w:p>
            <w:pPr>
              <w:spacing w:after="0"/>
              <w:rPr>
                <w:sz w:val="24"/>
                <w:szCs w:val="24"/>
                <w:color w:val="auto"/>
              </w:rPr>
            </w:pPr>
          </w:p>
        </w:tc>
        <w:tc>
          <w:tcPr>
            <w:tcW w:w="3360" w:type="dxa"/>
            <w:vAlign w:val="bottom"/>
            <w:tcBorders>
              <w:bottom w:val="single" w:sz="8" w:color="0000EE"/>
            </w:tcBorders>
            <w:gridSpan w:val="11"/>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Tax Opinion of Gibson Dunn &amp; Crutcher LLP.</w:t>
              </w:r>
            </w:hyperlink>
          </w:p>
        </w:tc>
        <w:tc>
          <w:tcPr>
            <w:tcW w:w="6760" w:type="dxa"/>
            <w:vAlign w:val="bottom"/>
            <w:gridSpan w:val="33"/>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9620" w:type="dxa"/>
            <w:vAlign w:val="bottom"/>
            <w:tcBorders>
              <w:bottom w:val="single" w:sz="8" w:color="0000EE"/>
            </w:tcBorders>
            <w:gridSpan w:val="32"/>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Letter Agreement, dated November 22, 2021, by and among the Company, its officers, its directors and the Sponsor (incorporated by</w:t>
              </w:r>
            </w:hyperlink>
          </w:p>
        </w:tc>
        <w:tc>
          <w:tcPr>
            <w:tcW w:w="500" w:type="dxa"/>
            <w:vAlign w:val="bottom"/>
            <w:gridSpan w:val="12"/>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8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reference to Exhibit 10.1 to the Current Report on Form 8-K (001-41094) filed by the Registrant on November 29, 2021).</w:t>
              </w:r>
            </w:hyperlink>
          </w:p>
        </w:tc>
        <w:tc>
          <w:tcPr>
            <w:tcW w:w="1340" w:type="dxa"/>
            <w:vAlign w:val="bottom"/>
            <w:gridSpan w:val="22"/>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10.2*</w:t>
            </w:r>
          </w:p>
        </w:tc>
        <w:tc>
          <w:tcPr>
            <w:tcW w:w="380" w:type="dxa"/>
            <w:vAlign w:val="bottom"/>
          </w:tcPr>
          <w:p>
            <w:pPr>
              <w:spacing w:after="0"/>
              <w:rPr>
                <w:sz w:val="24"/>
                <w:szCs w:val="24"/>
                <w:color w:val="auto"/>
              </w:rPr>
            </w:pPr>
          </w:p>
        </w:tc>
        <w:tc>
          <w:tcPr>
            <w:tcW w:w="9760" w:type="dxa"/>
            <w:vAlign w:val="bottom"/>
            <w:tcBorders>
              <w:bottom w:val="single" w:sz="8" w:color="0000EE"/>
            </w:tcBorders>
            <w:gridSpan w:val="35"/>
          </w:tcPr>
          <w:p>
            <w:pPr>
              <w:spacing w:after="0"/>
              <w:rPr>
                <w:rFonts w:ascii="Arial" w:cs="Arial" w:eastAsia="Arial" w:hAnsi="Arial"/>
                <w:sz w:val="18"/>
                <w:szCs w:val="18"/>
                <w:color w:val="0000EE"/>
                <w:w w:val="90"/>
              </w:rPr>
            </w:pPr>
            <w:hyperlink r:id="rId38">
              <w:r>
                <w:rPr>
                  <w:rFonts w:ascii="Arial" w:cs="Arial" w:eastAsia="Arial" w:hAnsi="Arial"/>
                  <w:sz w:val="18"/>
                  <w:szCs w:val="18"/>
                  <w:color w:val="0000EE"/>
                  <w:w w:val="90"/>
                </w:rPr>
                <w:t>Investment Management Trust Agreement, dated November 22, 2021, by and between the Company and Continental Stock Transfer &amp;</w:t>
              </w:r>
            </w:hyperlink>
          </w:p>
        </w:tc>
        <w:tc>
          <w:tcPr>
            <w:tcW w:w="360" w:type="dxa"/>
            <w:vAlign w:val="bottom"/>
            <w:gridSpan w:val="9"/>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2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r:id="rId38">
              <w:r>
                <w:rPr>
                  <w:rFonts w:ascii="Arial" w:cs="Arial" w:eastAsia="Arial" w:hAnsi="Arial"/>
                  <w:sz w:val="18"/>
                  <w:szCs w:val="18"/>
                  <w:color w:val="0000EE"/>
                  <w:w w:val="90"/>
                </w:rPr>
                <w:t>Trust Company, as trustee (Incorporated by reference to the corresponding exhibit to the Company’s Current Report on Form 8-K (File</w:t>
              </w:r>
            </w:hyperlink>
          </w:p>
        </w:tc>
        <w:tc>
          <w:tcPr>
            <w:tcW w:w="400" w:type="dxa"/>
            <w:vAlign w:val="bottom"/>
            <w:gridSpan w:val="11"/>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No. 001-41094), filed with the SEC on November 29, 2021).</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380" w:type="dxa"/>
            <w:vAlign w:val="bottom"/>
            <w:tcBorders>
              <w:left w:val="single" w:sz="8" w:color="0000EE"/>
            </w:tcBorders>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10.3*</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Registration Rights Agreement, dated November 22, 2021, by and among the Company, Vahanna LLC, Mizuho Securities USA LLC and</w:t>
              </w:r>
            </w:hyperlink>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380" w:type="dxa"/>
            <w:vAlign w:val="bottom"/>
            <w:tcBorders>
              <w:left w:val="single" w:sz="8" w:color="0000EE"/>
            </w:tcBorders>
            <w:gridSpan w:val="9"/>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20" w:type="dxa"/>
            <w:vAlign w:val="bottom"/>
            <w:tcBorders>
              <w:bottom w:val="single" w:sz="8" w:color="0000EE"/>
            </w:tcBorders>
            <w:gridSpan w:val="41"/>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the other holders party thereto (Incorporated by reference to the corresponding exhibit to the Company’s Current Report on Form 8-K (File</w:t>
              </w:r>
            </w:hyperlink>
          </w:p>
        </w:tc>
        <w:tc>
          <w:tcPr>
            <w:tcW w:w="100" w:type="dxa"/>
            <w:vAlign w:val="bottom"/>
            <w:gridSpan w:val="3"/>
          </w:tcPr>
          <w:p>
            <w:pPr>
              <w:spacing w:after="0"/>
              <w:rPr>
                <w:sz w:val="17"/>
                <w:szCs w:val="17"/>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No. 001-41094), filed with the SEC on November 29, 2021).</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4380" w:type="dxa"/>
            <w:vAlign w:val="bottom"/>
            <w:gridSpan w:val="9"/>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10.4*</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7"/>
              </w:rPr>
            </w:pPr>
            <w:hyperlink r:id="rId40">
              <w:r>
                <w:rPr>
                  <w:rFonts w:ascii="Arial" w:cs="Arial" w:eastAsia="Arial" w:hAnsi="Arial"/>
                  <w:sz w:val="18"/>
                  <w:szCs w:val="18"/>
                  <w:color w:val="0000EE"/>
                  <w:w w:val="97"/>
                </w:rPr>
                <w:t>Administrative Services Agreement, dated November 22, 2021, by and between the Registrant and Vahanna LLC (incorporated by</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7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r:id="rId40">
              <w:r>
                <w:rPr>
                  <w:rFonts w:ascii="Arial" w:cs="Arial" w:eastAsia="Arial" w:hAnsi="Arial"/>
                  <w:sz w:val="18"/>
                  <w:szCs w:val="18"/>
                  <w:color w:val="0000EE"/>
                  <w:w w:val="91"/>
                </w:rPr>
                <w:t>reference to Exhibit 10.6 to the Current Report on Form 8-K (001-41094) filed by the Registrant on November 26, 2021).</w:t>
              </w:r>
            </w:hyperlink>
          </w:p>
        </w:tc>
        <w:tc>
          <w:tcPr>
            <w:tcW w:w="680" w:type="dxa"/>
            <w:vAlign w:val="bottom"/>
            <w:tcBorders>
              <w:top w:val="single" w:sz="8" w:color="0000EE"/>
            </w:tcBorders>
            <w:gridSpan w:val="6"/>
          </w:tcPr>
          <w:p>
            <w:pPr>
              <w:spacing w:after="0"/>
              <w:rPr>
                <w:sz w:val="17"/>
                <w:szCs w:val="17"/>
                <w:color w:val="auto"/>
              </w:rPr>
            </w:pPr>
          </w:p>
        </w:tc>
        <w:tc>
          <w:tcPr>
            <w:tcW w:w="680" w:type="dxa"/>
            <w:vAlign w:val="bottom"/>
            <w:gridSpan w:val="17"/>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10.5*</w:t>
            </w:r>
          </w:p>
        </w:tc>
        <w:tc>
          <w:tcPr>
            <w:tcW w:w="380" w:type="dxa"/>
            <w:vAlign w:val="bottom"/>
          </w:tcPr>
          <w:p>
            <w:pPr>
              <w:spacing w:after="0"/>
              <w:rPr>
                <w:sz w:val="24"/>
                <w:szCs w:val="24"/>
                <w:color w:val="auto"/>
              </w:rPr>
            </w:pPr>
          </w:p>
        </w:tc>
        <w:tc>
          <w:tcPr>
            <w:tcW w:w="10120" w:type="dxa"/>
            <w:vAlign w:val="bottom"/>
            <w:tcBorders>
              <w:bottom w:val="single" w:sz="8" w:color="0000EE"/>
            </w:tcBorders>
            <w:gridSpan w:val="44"/>
          </w:tcPr>
          <w:p>
            <w:pPr>
              <w:spacing w:after="0"/>
              <w:rPr>
                <w:rFonts w:ascii="Arial" w:cs="Arial" w:eastAsia="Arial" w:hAnsi="Arial"/>
                <w:sz w:val="18"/>
                <w:szCs w:val="18"/>
                <w:color w:val="0000EE"/>
                <w:w w:val="89"/>
              </w:rPr>
            </w:pPr>
            <w:hyperlink r:id="rId41">
              <w:r>
                <w:rPr>
                  <w:rFonts w:ascii="Arial" w:cs="Arial" w:eastAsia="Arial" w:hAnsi="Arial"/>
                  <w:sz w:val="18"/>
                  <w:szCs w:val="18"/>
                  <w:color w:val="0000EE"/>
                  <w:w w:val="89"/>
                </w:rPr>
                <w:t>Private Placement Warrant Purchase Agreement, dated November 22, 2021, by and between the Registrant and Vahanna LLC (incorporated</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9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41">
              <w:r>
                <w:rPr>
                  <w:rFonts w:ascii="Arial" w:cs="Arial" w:eastAsia="Arial" w:hAnsi="Arial"/>
                  <w:sz w:val="18"/>
                  <w:szCs w:val="18"/>
                  <w:color w:val="0000EE"/>
                  <w:w w:val="91"/>
                </w:rPr>
                <w:t>by reference to Exhibit 10.4 to the Current Report on Form 8-K (001-41084) filed by the Registrant on November 26, 2021).</w:t>
              </w:r>
            </w:hyperlink>
          </w:p>
        </w:tc>
        <w:tc>
          <w:tcPr>
            <w:tcW w:w="1140" w:type="dxa"/>
            <w:vAlign w:val="bottom"/>
            <w:gridSpan w:val="21"/>
          </w:tcPr>
          <w:p>
            <w:pPr>
              <w:spacing w:after="0"/>
              <w:rPr>
                <w:sz w:val="17"/>
                <w:szCs w:val="17"/>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10.6*</w:t>
            </w:r>
          </w:p>
        </w:tc>
        <w:tc>
          <w:tcPr>
            <w:tcW w:w="380" w:type="dxa"/>
            <w:vAlign w:val="bottom"/>
          </w:tcPr>
          <w:p>
            <w:pPr>
              <w:spacing w:after="0"/>
              <w:rPr>
                <w:sz w:val="24"/>
                <w:szCs w:val="24"/>
                <w:color w:val="auto"/>
              </w:rPr>
            </w:pPr>
          </w:p>
        </w:tc>
        <w:tc>
          <w:tcPr>
            <w:tcW w:w="9560" w:type="dxa"/>
            <w:vAlign w:val="bottom"/>
            <w:tcBorders>
              <w:bottom w:val="single" w:sz="8" w:color="0000EE"/>
            </w:tcBorders>
            <w:gridSpan w:val="29"/>
          </w:tcPr>
          <w:p>
            <w:pPr>
              <w:spacing w:after="0"/>
              <w:rPr>
                <w:rFonts w:ascii="Arial" w:cs="Arial" w:eastAsia="Arial" w:hAnsi="Arial"/>
                <w:sz w:val="18"/>
                <w:szCs w:val="18"/>
                <w:color w:val="0000EE"/>
                <w:w w:val="90"/>
              </w:rPr>
            </w:pPr>
            <w:hyperlink r:id="rId42">
              <w:r>
                <w:rPr>
                  <w:rFonts w:ascii="Arial" w:cs="Arial" w:eastAsia="Arial" w:hAnsi="Arial"/>
                  <w:sz w:val="18"/>
                  <w:szCs w:val="18"/>
                  <w:color w:val="0000EE"/>
                  <w:w w:val="90"/>
                </w:rPr>
                <w:t>Form of Support Agreement (included as Annex C to the proxy statement/prospectus, which is a part of this Registration Statement).</w:t>
              </w:r>
            </w:hyperlink>
          </w:p>
        </w:tc>
        <w:tc>
          <w:tcPr>
            <w:tcW w:w="560" w:type="dxa"/>
            <w:vAlign w:val="bottom"/>
            <w:gridSpan w:val="15"/>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4"/>
                <w:szCs w:val="24"/>
                <w:color w:val="auto"/>
              </w:rPr>
            </w:pPr>
          </w:p>
        </w:tc>
        <w:tc>
          <w:tcPr>
            <w:tcW w:w="10100" w:type="dxa"/>
            <w:vAlign w:val="bottom"/>
            <w:tcBorders>
              <w:bottom w:val="single" w:sz="8" w:color="0000EE"/>
            </w:tcBorders>
            <w:gridSpan w:val="43"/>
          </w:tcPr>
          <w:p>
            <w:pPr>
              <w:spacing w:after="0"/>
              <w:rPr>
                <w:rFonts w:ascii="Arial" w:cs="Arial" w:eastAsia="Arial" w:hAnsi="Arial"/>
                <w:sz w:val="18"/>
                <w:szCs w:val="18"/>
                <w:color w:val="0000EE"/>
                <w:w w:val="89"/>
              </w:rPr>
            </w:pPr>
            <w:hyperlink r:id="rId43">
              <w:r>
                <w:rPr>
                  <w:rFonts w:ascii="Arial" w:cs="Arial" w:eastAsia="Arial" w:hAnsi="Arial"/>
                  <w:sz w:val="18"/>
                  <w:szCs w:val="18"/>
                  <w:color w:val="0000EE"/>
                  <w:w w:val="89"/>
                </w:rPr>
                <w:t>Sponsor Support Agreement, by and between the Company and the Sponsor (included as Annex D to the proxy statement/prospectus, which</w:t>
              </w:r>
            </w:hyperlink>
          </w:p>
        </w:tc>
        <w:tc>
          <w:tcPr>
            <w:tcW w:w="20" w:type="dxa"/>
            <w:vAlign w:val="bottom"/>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is a part of this Registration Statement).</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520" w:type="dxa"/>
            <w:vAlign w:val="bottom"/>
            <w:gridSpan w:val="1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Form of Lock-Up Agreement (included as Annex E to the proxy statement/prospectus, which is a part of this Registration Statement).</w:t>
              </w:r>
            </w:hyperlink>
          </w:p>
        </w:tc>
      </w:tr>
      <w:tr>
        <w:trPr>
          <w:trHeight w:val="20"/>
        </w:trPr>
        <w:tc>
          <w:tcPr>
            <w:tcW w:w="9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0" w:type="dxa"/>
            <w:vAlign w:val="bottom"/>
            <w:gridSpan w:val="18"/>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9"/>
          </w:tcPr>
          <w:p>
            <w:pPr>
              <w:spacing w:after="0" w:line="20" w:lineRule="exact"/>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10.9†*</w:t>
            </w:r>
          </w:p>
        </w:tc>
        <w:tc>
          <w:tcPr>
            <w:tcW w:w="10120" w:type="dxa"/>
            <w:vAlign w:val="bottom"/>
            <w:gridSpan w:val="44"/>
          </w:tcPr>
          <w:p>
            <w:pPr>
              <w:spacing w:after="0"/>
              <w:rPr>
                <w:sz w:val="20"/>
                <w:szCs w:val="20"/>
                <w:color w:val="auto"/>
              </w:rPr>
            </w:pPr>
            <w:r>
              <w:rPr>
                <w:rFonts w:ascii="Arial" w:cs="Arial" w:eastAsia="Arial" w:hAnsi="Arial"/>
                <w:sz w:val="18"/>
                <w:szCs w:val="18"/>
                <w:color w:val="0000EE"/>
                <w:w w:val="93"/>
              </w:rPr>
              <w:t>Roadzen Inc. 2023 Omnibus Incentive Plan (included as Annex F to the proxy statement/prospectus, which is a part of this Registration</w:t>
            </w: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760" w:type="dxa"/>
            <w:vAlign w:val="bottom"/>
            <w:tcBorders>
              <w:top w:val="single" w:sz="8" w:color="0000EE"/>
            </w:tcBorders>
            <w:gridSpan w:val="35"/>
          </w:tcPr>
          <w:p>
            <w:pPr>
              <w:spacing w:after="0" w:line="196" w:lineRule="exact"/>
              <w:rPr>
                <w:sz w:val="20"/>
                <w:szCs w:val="20"/>
                <w:color w:val="auto"/>
              </w:rPr>
            </w:pPr>
            <w:r>
              <w:rPr>
                <w:rFonts w:ascii="Arial" w:cs="Arial" w:eastAsia="Arial" w:hAnsi="Arial"/>
                <w:sz w:val="18"/>
                <w:szCs w:val="18"/>
                <w:color w:val="0000EE"/>
              </w:rPr>
              <w:t>Statement).</w:t>
            </w:r>
          </w:p>
        </w:tc>
        <w:tc>
          <w:tcPr>
            <w:tcW w:w="360" w:type="dxa"/>
            <w:vAlign w:val="bottom"/>
            <w:gridSpan w:val="9"/>
          </w:tcPr>
          <w:p>
            <w:pPr>
              <w:spacing w:after="0"/>
              <w:rPr>
                <w:sz w:val="17"/>
                <w:szCs w:val="17"/>
                <w:color w:val="auto"/>
              </w:rPr>
            </w:pPr>
          </w:p>
        </w:tc>
      </w:tr>
      <w:tr>
        <w:trPr>
          <w:trHeight w:val="20"/>
        </w:trPr>
        <w:tc>
          <w:tcPr>
            <w:tcW w:w="9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0" w:type="dxa"/>
            <w:vAlign w:val="bottom"/>
            <w:gridSpan w:val="1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r>
      <w:tr>
        <w:trPr>
          <w:trHeight w:val="304"/>
        </w:trPr>
        <w:tc>
          <w:tcPr>
            <w:tcW w:w="900" w:type="dxa"/>
            <w:vAlign w:val="bottom"/>
            <w:gridSpan w:val="3"/>
          </w:tcPr>
          <w:p>
            <w:pPr>
              <w:spacing w:after="0"/>
              <w:rPr>
                <w:sz w:val="20"/>
                <w:szCs w:val="20"/>
                <w:color w:val="auto"/>
              </w:rPr>
            </w:pPr>
            <w:r>
              <w:rPr>
                <w:rFonts w:ascii="Arial" w:cs="Arial" w:eastAsia="Arial" w:hAnsi="Arial"/>
                <w:sz w:val="18"/>
                <w:szCs w:val="18"/>
                <w:color w:val="auto"/>
              </w:rPr>
              <w:t>10.10†*</w:t>
            </w:r>
          </w:p>
        </w:tc>
        <w:tc>
          <w:tcPr>
            <w:tcW w:w="938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0"/>
              </w:rPr>
              <w:t>Roadzen Inc. 2023 Employee Stock Purchase Plan (included as Annex H to the proxy statement/prospectus, which is a part of this</w:t>
            </w:r>
          </w:p>
        </w:tc>
        <w:tc>
          <w:tcPr>
            <w:tcW w:w="740" w:type="dxa"/>
            <w:vAlign w:val="bottom"/>
            <w:gridSpan w:val="18"/>
          </w:tcPr>
          <w:p>
            <w:pPr>
              <w:spacing w:after="0"/>
              <w:rPr>
                <w:sz w:val="24"/>
                <w:szCs w:val="24"/>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120" w:type="dxa"/>
            <w:vAlign w:val="bottom"/>
            <w:gridSpan w:val="44"/>
          </w:tcPr>
          <w:p>
            <w:pPr>
              <w:spacing w:after="0" w:line="196" w:lineRule="exact"/>
              <w:rPr>
                <w:sz w:val="20"/>
                <w:szCs w:val="20"/>
                <w:color w:val="auto"/>
              </w:rPr>
            </w:pPr>
            <w:r>
              <w:rPr>
                <w:rFonts w:ascii="Arial" w:cs="Arial" w:eastAsia="Arial" w:hAnsi="Arial"/>
                <w:sz w:val="18"/>
                <w:szCs w:val="18"/>
                <w:color w:val="0000EE"/>
              </w:rPr>
              <w:t>Registration Statement).</w:t>
            </w: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940" w:type="dxa"/>
            <w:vAlign w:val="bottom"/>
            <w:gridSpan w:val="20"/>
          </w:tcPr>
          <w:p>
            <w:pPr>
              <w:spacing w:after="0" w:line="20" w:lineRule="exact"/>
              <w:rPr>
                <w:sz w:val="1"/>
                <w:szCs w:val="1"/>
                <w:color w:val="auto"/>
              </w:rPr>
            </w:pPr>
          </w:p>
        </w:tc>
        <w:tc>
          <w:tcPr>
            <w:tcW w:w="600" w:type="dxa"/>
            <w:vAlign w:val="bottom"/>
            <w:gridSpan w:val="16"/>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10.11*</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Note Purchase Agreement, dated June 30, 2023, by and among Roadzen, Inc., Mizuho Securities USA LLC and other parties named</w:t>
              </w:r>
            </w:hyperlink>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thereto.</w:t>
              </w:r>
            </w:hyperlink>
          </w:p>
        </w:tc>
        <w:tc>
          <w:tcPr>
            <w:tcW w:w="600" w:type="dxa"/>
            <w:vAlign w:val="bottom"/>
            <w:gridSpan w:val="16"/>
          </w:tcPr>
          <w:p>
            <w:pPr>
              <w:spacing w:after="0"/>
              <w:rPr>
                <w:sz w:val="17"/>
                <w:szCs w:val="17"/>
                <w:color w:val="auto"/>
              </w:rPr>
            </w:pPr>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540" w:type="dxa"/>
            <w:vAlign w:val="bottom"/>
            <w:gridSpan w:val="36"/>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rPr>
            </w:pPr>
            <w:hyperlink r:id="rId46">
              <w:r>
                <w:rPr>
                  <w:rFonts w:ascii="Arial" w:cs="Arial" w:eastAsia="Arial" w:hAnsi="Arial"/>
                  <w:sz w:val="18"/>
                  <w:szCs w:val="18"/>
                  <w:color w:val="0000EE"/>
                </w:rPr>
                <w:t>List of Subsidiaries.</w:t>
              </w:r>
            </w:hyperlink>
          </w:p>
        </w:tc>
      </w:tr>
      <w:tr>
        <w:trPr>
          <w:trHeight w:val="20"/>
        </w:trPr>
        <w:tc>
          <w:tcPr>
            <w:tcW w:w="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540" w:type="dxa"/>
            <w:vAlign w:val="bottom"/>
            <w:gridSpan w:val="36"/>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24"/>
                <w:szCs w:val="24"/>
                <w:color w:val="auto"/>
              </w:rPr>
            </w:pPr>
          </w:p>
        </w:tc>
        <w:tc>
          <w:tcPr>
            <w:tcW w:w="25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Consent of ASA &amp; Associates LLP.</w:t>
            </w:r>
          </w:p>
        </w:tc>
        <w:tc>
          <w:tcPr>
            <w:tcW w:w="7540" w:type="dxa"/>
            <w:vAlign w:val="bottom"/>
            <w:gridSpan w:val="36"/>
          </w:tcPr>
          <w:p>
            <w:pPr>
              <w:spacing w:after="0"/>
              <w:rPr>
                <w:sz w:val="24"/>
                <w:szCs w:val="24"/>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23.2*</w:t>
            </w:r>
          </w:p>
        </w:tc>
        <w:tc>
          <w:tcPr>
            <w:tcW w:w="380" w:type="dxa"/>
            <w:vAlign w:val="bottom"/>
          </w:tcPr>
          <w:p>
            <w:pPr>
              <w:spacing w:after="0"/>
              <w:rPr>
                <w:sz w:val="24"/>
                <w:szCs w:val="24"/>
                <w:color w:val="auto"/>
              </w:rPr>
            </w:pPr>
          </w:p>
        </w:tc>
        <w:tc>
          <w:tcPr>
            <w:tcW w:w="10120" w:type="dxa"/>
            <w:vAlign w:val="bottom"/>
            <w:gridSpan w:val="44"/>
          </w:tcPr>
          <w:p>
            <w:pPr>
              <w:spacing w:after="0"/>
              <w:rPr>
                <w:rFonts w:ascii="Arial" w:cs="Arial" w:eastAsia="Arial" w:hAnsi="Arial"/>
                <w:sz w:val="18"/>
                <w:szCs w:val="18"/>
                <w:color w:val="0000EE"/>
              </w:rPr>
            </w:pPr>
            <w:hyperlink r:id="rId47">
              <w:r>
                <w:rPr>
                  <w:rFonts w:ascii="Arial" w:cs="Arial" w:eastAsia="Arial" w:hAnsi="Arial"/>
                  <w:sz w:val="18"/>
                  <w:szCs w:val="18"/>
                  <w:color w:val="0000EE"/>
                </w:rPr>
                <w:t>Consent of Marcum LLP.</w:t>
              </w:r>
            </w:hyperlink>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23.3</w:t>
            </w:r>
          </w:p>
        </w:tc>
        <w:tc>
          <w:tcPr>
            <w:tcW w:w="38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4"/>
              </w:rPr>
              <w:t>Consent of KNAV P.A.</w:t>
            </w:r>
          </w:p>
        </w:tc>
        <w:tc>
          <w:tcPr>
            <w:tcW w:w="80" w:type="dxa"/>
            <w:vAlign w:val="bottom"/>
            <w:tcBorders>
              <w:top w:val="single" w:sz="8" w:color="0000EE"/>
            </w:tcBorders>
          </w:tcPr>
          <w:p>
            <w:pPr>
              <w:spacing w:after="0"/>
              <w:rPr>
                <w:sz w:val="24"/>
                <w:szCs w:val="24"/>
                <w:color w:val="auto"/>
              </w:rPr>
            </w:pPr>
          </w:p>
        </w:tc>
        <w:tc>
          <w:tcPr>
            <w:tcW w:w="8300" w:type="dxa"/>
            <w:vAlign w:val="bottom"/>
            <w:gridSpan w:val="38"/>
          </w:tcPr>
          <w:p>
            <w:pPr>
              <w:spacing w:after="0"/>
              <w:rPr>
                <w:sz w:val="24"/>
                <w:szCs w:val="24"/>
                <w:color w:val="auto"/>
              </w:rPr>
            </w:pPr>
          </w:p>
        </w:tc>
      </w:tr>
    </w:tbl>
    <w:p>
      <w:pPr>
        <w:sectPr>
          <w:pgSz w:w="11900" w:h="16838" w:orient="portrait"/>
          <w:cols w:equalWidth="0" w:num="1">
            <w:col w:w="11020"/>
          </w:cols>
          <w:pgMar w:left="440" w:top="270" w:right="439" w:bottom="0" w:gutter="0" w:footer="0" w:header="0"/>
        </w:sectPr>
      </w:pPr>
    </w:p>
    <w:bookmarkStart w:id="4" w:name="page5"/>
    <w:bookmarkEnd w:id="4"/>
    <w:p>
      <w:pPr>
        <w:ind w:left="4"/>
        <w:spacing w:after="0"/>
        <w:tabs>
          <w:tab w:leader="none" w:pos="884"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6"/>
          <w:szCs w:val="16"/>
          <w:u w:val="single" w:color="auto"/>
          <w:color w:val="0000EE"/>
        </w:rPr>
        <w:t>Consent of SingerLewak LLP.</w:t>
      </w:r>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23.5*</w:t>
      </w:r>
      <w:r>
        <w:rPr>
          <w:sz w:val="20"/>
          <w:szCs w:val="20"/>
          <w:color w:val="auto"/>
        </w:rPr>
        <w:tab/>
      </w:r>
      <w:hyperlink r:id="rId35">
        <w:r>
          <w:rPr>
            <w:rFonts w:ascii="Arial" w:cs="Arial" w:eastAsia="Arial" w:hAnsi="Arial"/>
            <w:sz w:val="16"/>
            <w:szCs w:val="16"/>
            <w:u w:val="single" w:color="auto"/>
            <w:color w:val="0000EE"/>
          </w:rPr>
          <w:t>Consent of Maples &amp; Calder (included in Exhibit 5.1 hereto).</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r:id="rId48">
        <w:r>
          <w:rPr>
            <w:rFonts w:ascii="Arial" w:cs="Arial" w:eastAsia="Arial" w:hAnsi="Arial"/>
            <w:sz w:val="16"/>
            <w:szCs w:val="16"/>
            <w:u w:val="single" w:color="auto"/>
            <w:color w:val="0000EE"/>
          </w:rPr>
          <w:t>Power of Attorney.</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49">
        <w:r>
          <w:rPr>
            <w:rFonts w:ascii="Arial" w:cs="Arial" w:eastAsia="Arial" w:hAnsi="Arial"/>
            <w:sz w:val="16"/>
            <w:szCs w:val="16"/>
            <w:u w:val="single" w:color="auto"/>
            <w:color w:val="0000EE"/>
          </w:rPr>
          <w:t>Form of Proxy Card for the Registrant’s Special Meeting.</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50">
        <w:r>
          <w:rPr>
            <w:rFonts w:ascii="Arial" w:cs="Arial" w:eastAsia="Arial" w:hAnsi="Arial"/>
            <w:sz w:val="16"/>
            <w:szCs w:val="16"/>
            <w:u w:val="single" w:color="auto"/>
            <w:color w:val="0000EE"/>
          </w:rPr>
          <w:t>Consent of Rohan Malhotra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r:id="rId51">
        <w:r>
          <w:rPr>
            <w:rFonts w:ascii="Arial" w:cs="Arial" w:eastAsia="Arial" w:hAnsi="Arial"/>
            <w:sz w:val="16"/>
            <w:szCs w:val="16"/>
            <w:u w:val="single" w:color="auto"/>
            <w:color w:val="0000EE"/>
          </w:rPr>
          <w:t>Consent of Saurav Adhikari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5"/>
          <w:szCs w:val="15"/>
          <w:u w:val="single" w:color="auto"/>
          <w:color w:val="0000EE"/>
        </w:rPr>
      </w:pPr>
      <w:r>
        <w:rPr>
          <w:rFonts w:ascii="Arial" w:cs="Arial" w:eastAsia="Arial" w:hAnsi="Arial"/>
          <w:sz w:val="18"/>
          <w:szCs w:val="18"/>
          <w:color w:val="auto"/>
        </w:rPr>
        <w:t>99.4*</w:t>
      </w:r>
      <w:r>
        <w:rPr>
          <w:sz w:val="20"/>
          <w:szCs w:val="20"/>
          <w:color w:val="auto"/>
        </w:rPr>
        <w:tab/>
      </w:r>
      <w:hyperlink r:id="rId52">
        <w:r>
          <w:rPr>
            <w:rFonts w:ascii="Arial" w:cs="Arial" w:eastAsia="Arial" w:hAnsi="Arial"/>
            <w:sz w:val="15"/>
            <w:szCs w:val="15"/>
            <w:u w:val="single" w:color="auto"/>
            <w:color w:val="0000EE"/>
          </w:rPr>
          <w:t>Consent of Supurna Vedbrat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5"/>
          <w:szCs w:val="15"/>
          <w:u w:val="single" w:color="auto"/>
          <w:color w:val="0000EE"/>
        </w:rPr>
      </w:pPr>
      <w:r>
        <w:rPr>
          <w:rFonts w:ascii="Arial" w:cs="Arial" w:eastAsia="Arial" w:hAnsi="Arial"/>
          <w:sz w:val="18"/>
          <w:szCs w:val="18"/>
          <w:color w:val="auto"/>
        </w:rPr>
        <w:t>99.5*</w:t>
      </w:r>
      <w:r>
        <w:rPr>
          <w:sz w:val="20"/>
          <w:szCs w:val="20"/>
          <w:color w:val="auto"/>
        </w:rPr>
        <w:tab/>
      </w:r>
      <w:hyperlink r:id="rId53">
        <w:r>
          <w:rPr>
            <w:rFonts w:ascii="Arial" w:cs="Arial" w:eastAsia="Arial" w:hAnsi="Arial"/>
            <w:sz w:val="15"/>
            <w:szCs w:val="15"/>
            <w:u w:val="single" w:color="auto"/>
            <w:color w:val="0000EE"/>
          </w:rPr>
          <w:t>Consent of Steven Carlson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7"/>
          <w:szCs w:val="17"/>
          <w:u w:val="single" w:color="auto"/>
          <w:color w:val="0000EE"/>
        </w:rPr>
      </w:pPr>
      <w:r>
        <w:rPr>
          <w:rFonts w:ascii="Arial" w:cs="Arial" w:eastAsia="Arial" w:hAnsi="Arial"/>
          <w:sz w:val="18"/>
          <w:szCs w:val="18"/>
          <w:color w:val="auto"/>
        </w:rPr>
        <w:t>99.6*</w:t>
      </w:r>
      <w:r>
        <w:rPr>
          <w:sz w:val="20"/>
          <w:szCs w:val="20"/>
          <w:color w:val="auto"/>
        </w:rPr>
        <w:tab/>
      </w:r>
      <w:hyperlink r:id="rId54">
        <w:r>
          <w:rPr>
            <w:rFonts w:ascii="Arial" w:cs="Arial" w:eastAsia="Arial" w:hAnsi="Arial"/>
            <w:sz w:val="17"/>
            <w:szCs w:val="17"/>
            <w:u w:val="single" w:color="auto"/>
            <w:color w:val="0000EE"/>
          </w:rPr>
          <w:t>Consent of SHEUMACK GMA.</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99.7*</w:t>
      </w:r>
      <w:r>
        <w:rPr>
          <w:sz w:val="20"/>
          <w:szCs w:val="20"/>
          <w:color w:val="auto"/>
        </w:rPr>
        <w:tab/>
      </w:r>
      <w:hyperlink r:id="rId55">
        <w:r>
          <w:rPr>
            <w:rFonts w:ascii="Arial" w:cs="Arial" w:eastAsia="Arial" w:hAnsi="Arial"/>
            <w:sz w:val="16"/>
            <w:szCs w:val="16"/>
            <w:u w:val="single" w:color="auto"/>
            <w:color w:val="0000EE"/>
          </w:rPr>
          <w:t>Consent of Ajay Shah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99.8*</w:t>
      </w:r>
      <w:r>
        <w:rPr>
          <w:sz w:val="20"/>
          <w:szCs w:val="20"/>
          <w:color w:val="auto"/>
        </w:rPr>
        <w:tab/>
      </w:r>
      <w:hyperlink r:id="rId56">
        <w:r>
          <w:rPr>
            <w:rFonts w:ascii="Arial" w:cs="Arial" w:eastAsia="Arial" w:hAnsi="Arial"/>
            <w:sz w:val="16"/>
            <w:szCs w:val="16"/>
            <w:u w:val="single" w:color="auto"/>
            <w:color w:val="0000EE"/>
          </w:rPr>
          <w:t>Consent of Zoe Ashcroft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99.9*</w:t>
      </w:r>
      <w:r>
        <w:rPr>
          <w:sz w:val="20"/>
          <w:szCs w:val="20"/>
          <w:color w:val="auto"/>
        </w:rPr>
        <w:tab/>
      </w:r>
      <w:hyperlink r:id="rId57">
        <w:r>
          <w:rPr>
            <w:rFonts w:ascii="Arial" w:cs="Arial" w:eastAsia="Arial" w:hAnsi="Arial"/>
            <w:sz w:val="16"/>
            <w:szCs w:val="16"/>
            <w:u w:val="single" w:color="auto"/>
            <w:color w:val="0000EE"/>
          </w:rPr>
          <w:t>Consent of Diane B. Glossman to be named as a director.</w:t>
        </w:r>
      </w:hyperlink>
    </w:p>
    <w:p>
      <w:pPr>
        <w:spacing w:after="0" w:line="117" w:lineRule="exact"/>
        <w:rPr>
          <w:sz w:val="20"/>
          <w:szCs w:val="20"/>
          <w:color w:val="auto"/>
        </w:rPr>
      </w:pPr>
    </w:p>
    <w:p>
      <w:pPr>
        <w:ind w:left="4"/>
        <w:spacing w:after="0"/>
        <w:tabs>
          <w:tab w:leader="none" w:pos="884" w:val="left"/>
        </w:tabs>
        <w:rPr>
          <w:rFonts w:ascii="Arial" w:cs="Arial" w:eastAsia="Arial" w:hAnsi="Arial"/>
          <w:sz w:val="16"/>
          <w:szCs w:val="16"/>
          <w:u w:val="single" w:color="auto"/>
          <w:color w:val="0000EE"/>
        </w:rPr>
      </w:pPr>
      <w:r>
        <w:rPr>
          <w:rFonts w:ascii="Arial" w:cs="Arial" w:eastAsia="Arial" w:hAnsi="Arial"/>
          <w:sz w:val="18"/>
          <w:szCs w:val="18"/>
          <w:color w:val="auto"/>
        </w:rPr>
        <w:t>107.1*</w:t>
      </w:r>
      <w:r>
        <w:rPr>
          <w:sz w:val="20"/>
          <w:szCs w:val="20"/>
          <w:color w:val="auto"/>
        </w:rPr>
        <w:tab/>
      </w:r>
      <w:hyperlink r:id="rId58">
        <w:r>
          <w:rPr>
            <w:rFonts w:ascii="Arial" w:cs="Arial" w:eastAsia="Arial" w:hAnsi="Arial"/>
            <w:sz w:val="16"/>
            <w:szCs w:val="16"/>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 or arrangement.</w:t>
      </w:r>
    </w:p>
    <w:p>
      <w:pPr>
        <w:sectPr>
          <w:pgSz w:w="11900" w:h="16838" w:orient="portrait"/>
          <w:cols w:equalWidth="0" w:num="1">
            <w:col w:w="10023"/>
          </w:cols>
          <w:pgMar w:left="436" w:top="125" w:right="1440"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on Form S-4 to be signed on its behalf by the undersigned, thereunto duly authorized, in the City of New York, New York, on August 14, 2023.</w:t>
      </w:r>
    </w:p>
    <w:p>
      <w:pPr>
        <w:spacing w:after="0" w:line="16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VAHANNA TECH EDGE ACQUISITION I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Karan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Karan Puri</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ectPr>
          <w:pgSz w:w="11900" w:h="16838" w:orient="portrait"/>
          <w:cols w:equalWidth="0" w:num="1">
            <w:col w:w="10960"/>
          </w:cols>
          <w:pgMar w:left="440" w:top="270" w:right="499" w:bottom="1440" w:gutter="0" w:footer="0" w:header="0"/>
        </w:sectPr>
      </w:pPr>
    </w:p>
    <w:p>
      <w:pPr>
        <w:spacing w:after="0" w:line="189" w:lineRule="exact"/>
        <w:rPr>
          <w:sz w:val="20"/>
          <w:szCs w:val="20"/>
          <w:color w:val="auto"/>
        </w:rPr>
      </w:pPr>
    </w:p>
    <w:p>
      <w:pPr>
        <w:ind w:left="1760"/>
        <w:spacing w:after="0"/>
        <w:rPr>
          <w:sz w:val="20"/>
          <w:szCs w:val="20"/>
          <w:color w:val="auto"/>
        </w:rPr>
      </w:pPr>
      <w:r>
        <w:rPr>
          <w:rFonts w:ascii="Arial" w:cs="Arial" w:eastAsia="Arial" w:hAnsi="Arial"/>
          <w:sz w:val="14"/>
          <w:szCs w:val="14"/>
          <w:b w:val="1"/>
          <w:bCs w:val="1"/>
          <w:u w:val="single" w:color="auto"/>
          <w:color w:val="auto"/>
        </w:rPr>
        <w:t>Signatures</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Karan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6574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Karan Puri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 Raahim 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6574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3">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Raahim Don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5457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Saurav Adhikari</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5457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Abha Kumar</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545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5"/>
          <w:szCs w:val="15"/>
          <w:color w:val="auto"/>
        </w:rPr>
        <w:t>Rangarajan Sundaram</w:t>
      </w:r>
    </w:p>
    <w:p>
      <w:pPr>
        <w:spacing w:after="0" w:line="26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545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7">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Diane B. Glossman</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25457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1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Ajay Shah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Karan Puri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Karan Puri</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14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Pr>
          <w:p>
            <w:pPr>
              <w:spacing w:after="0"/>
              <w:rPr>
                <w:sz w:val="14"/>
                <w:szCs w:val="14"/>
                <w:color w:val="auto"/>
              </w:rPr>
            </w:pPr>
          </w:p>
        </w:tc>
      </w:tr>
      <w:tr>
        <w:trPr>
          <w:trHeight w:val="438"/>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Chief Executive Officer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230"/>
        </w:trPr>
        <w:tc>
          <w:tcPr>
            <w:tcW w:w="384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(Principal Executive Officer)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4"/>
              </w:rPr>
              <w:t>Chief Financial Officer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230"/>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(Principal Financial and Accounting Officer)</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59"/>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Chairman of the Board of Directors</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675"/>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675"/>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675"/>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r>
        <w:trPr>
          <w:trHeight w:val="675"/>
        </w:trPr>
        <w:tc>
          <w:tcPr>
            <w:tcW w:w="3840" w:type="dxa"/>
            <w:vAlign w:val="bottom"/>
            <w:gridSpan w:val="3"/>
          </w:tcPr>
          <w:p>
            <w:pPr>
              <w:jc w:val="center"/>
              <w:ind w:right="600"/>
              <w:spacing w:after="0"/>
              <w:rPr>
                <w:sz w:val="20"/>
                <w:szCs w:val="20"/>
                <w:color w:val="auto"/>
              </w:rPr>
            </w:pPr>
            <w:r>
              <w:rPr>
                <w:rFonts w:ascii="Arial" w:cs="Arial" w:eastAsia="Arial" w:hAnsi="Arial"/>
                <w:sz w:val="18"/>
                <w:szCs w:val="18"/>
                <w:color w:val="auto"/>
                <w:w w:val="95"/>
              </w:rPr>
              <w:t>Director</w:t>
            </w:r>
          </w:p>
        </w:tc>
        <w:tc>
          <w:tcPr>
            <w:tcW w:w="1800" w:type="dxa"/>
            <w:vAlign w:val="bottom"/>
            <w:gridSpan w:val="3"/>
          </w:tcPr>
          <w:p>
            <w:pPr>
              <w:jc w:val="center"/>
              <w:ind w:left="510"/>
              <w:spacing w:after="0"/>
              <w:rPr>
                <w:sz w:val="20"/>
                <w:szCs w:val="20"/>
                <w:color w:val="auto"/>
              </w:rPr>
            </w:pPr>
            <w:r>
              <w:rPr>
                <w:rFonts w:ascii="Arial" w:cs="Arial" w:eastAsia="Arial" w:hAnsi="Arial"/>
                <w:sz w:val="18"/>
                <w:szCs w:val="18"/>
                <w:color w:val="auto"/>
                <w:w w:val="91"/>
              </w:rPr>
              <w:t>August 14, 2023</w:t>
            </w:r>
          </w:p>
        </w:tc>
      </w:tr>
    </w:tbl>
    <w:p>
      <w:pPr>
        <w:sectPr>
          <w:pgSz w:w="11900" w:h="16838" w:orient="portrait"/>
          <w:cols w:equalWidth="0" w:num="2">
            <w:col w:w="4380" w:space="720"/>
            <w:col w:w="5860"/>
          </w:cols>
          <w:pgMar w:left="440" w:top="270" w:right="499" w:bottom="1440" w:gutter="0" w:footer="0" w:header="0"/>
          <w:type w:val="continuous"/>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use in this Registration Statement on Form S-4 of Vahanna Tech Edge Acquisition I Corp. of our report dated June 22, 2023 on our audit of the financial statements of Roadzen, Inc. as of March 31, 2023 and 2022, and the related consolidated statements of operations, consolidated statement of mezzanine equity and stockholders’ deficit and consolidated statements of cash flow for each of the two years in the period ended March 31, 2023 which appears in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us under the caption “Experts” in this Registration Statement on Form S-4.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ASA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Gurugram, India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ectPr>
          <w:pgSz w:w="11900" w:h="16838" w:orient="portrait"/>
          <w:cols w:equalWidth="0" w:num="1">
            <w:col w:w="11020"/>
          </w:cols>
          <w:pgMar w:left="440" w:top="121"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hereby consent to the use in this Registration Statement on Form S-4 of our audit report dated April 24, 2023, relating to the consolidated financial statements of Global Insurance Management Ltd., as of and for the years ended December 31, 2022 and December 31, 2021. We also consent to the reference to us under the heading “Experts” in such Registration Statement to Form S-4.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KNAV P.A.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14, 2023</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consent to the use in Amendment No. 4 to the Registration Statement (No. 333-269747) on Form S-4 of Vahanna Tech Edge Acquisition I Corp. of our report dated April 19, 2023, relating to the financial statements of National Automobile Club.</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of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SingerLewak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13, 2023</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59" Type="http://schemas.openxmlformats.org/officeDocument/2006/relationships/image" Target="media/image14.png"/><Relationship Id="rId60" Type="http://schemas.openxmlformats.org/officeDocument/2006/relationships/image" Target="media/image15.png"/><Relationship Id="rId61" Type="http://schemas.openxmlformats.org/officeDocument/2006/relationships/image" Target="media/image16.png"/><Relationship Id="rId62" Type="http://schemas.openxmlformats.org/officeDocument/2006/relationships/image" Target="media/image17.png"/><Relationship Id="rId63" Type="http://schemas.openxmlformats.org/officeDocument/2006/relationships/image" Target="media/image18.png"/><Relationship Id="rId64" Type="http://schemas.openxmlformats.org/officeDocument/2006/relationships/image" Target="media/image19.png"/><Relationship Id="rId65" Type="http://schemas.openxmlformats.org/officeDocument/2006/relationships/image" Target="media/image20.png"/><Relationship Id="rId66" Type="http://schemas.openxmlformats.org/officeDocument/2006/relationships/image" Target="media/image21.png"/><Relationship Id="rId67" Type="http://schemas.openxmlformats.org/officeDocument/2006/relationships/image" Target="media/image22.png"/><Relationship Id="rId68" Type="http://schemas.openxmlformats.org/officeDocument/2006/relationships/image" Target="media/image23.png"/><Relationship Id="rId69" Type="http://schemas.openxmlformats.org/officeDocument/2006/relationships/image" Target="media/image24.png"/><Relationship Id="rId21" Type="http://schemas.openxmlformats.org/officeDocument/2006/relationships/hyperlink" Target="http://www.sec.gov/ix?doc=/Archives/edgar/data/1868640/000119312523036577/d14176ds4.htm#rom14176_44" TargetMode="External"/><Relationship Id="rId22" Type="http://schemas.openxmlformats.org/officeDocument/2006/relationships/hyperlink" Target="http://www.sec.gov/Archives/edgar/data/1868640/000119312523036577/d14176dex22.htm" TargetMode="External"/><Relationship Id="rId23" Type="http://schemas.openxmlformats.org/officeDocument/2006/relationships/hyperlink" Target="http://www.sec.gov/Archives/edgar/data/1868640/000119312523036577/d14176dex23.htm" TargetMode="External"/><Relationship Id="rId24" Type="http://schemas.openxmlformats.org/officeDocument/2006/relationships/hyperlink" Target="http://www.sec.gov/Archives/edgar/data/0001868640/000119312523180578/d14176dex24.htm" TargetMode="External"/><Relationship Id="rId25" Type="http://schemas.openxmlformats.org/officeDocument/2006/relationships/hyperlink" Target="http://www.sec.gov/Archives/edgar/data/1868640/000119312521318921/d188742dex31.htm" TargetMode="External"/><Relationship Id="rId26" Type="http://schemas.openxmlformats.org/officeDocument/2006/relationships/hyperlink" Target="http://www.sec.gov/Archives/edgar/data/1868640/000119312521342437/d244497dex31.htm" TargetMode="External"/><Relationship Id="rId27" Type="http://schemas.openxmlformats.org/officeDocument/2006/relationships/hyperlink" Target="http://www.sec.gov/ix?doc=/Archives/edgar/data/1868640/000119312523036577/d14176ds4.htm#rom14176_45" TargetMode="External"/><Relationship Id="rId28" Type="http://schemas.openxmlformats.org/officeDocument/2006/relationships/hyperlink" Target="http://www.sec.gov/ix?doc=/Archives/edgar/data/1868640/000119312523036577/d14176ds4.htm#rom14176_54" TargetMode="External"/><Relationship Id="rId29" Type="http://schemas.openxmlformats.org/officeDocument/2006/relationships/hyperlink" Target="http://www.sec.gov/ix?doc=/Archives/edgar/data/1868640/000119312523036577/d14176ds4.htm#rom14176_55" TargetMode="External"/><Relationship Id="rId30" Type="http://schemas.openxmlformats.org/officeDocument/2006/relationships/hyperlink" Target="http://www.sec.gov/ix?doc=/Archives/edgar/data/1868640/000119312523036577/d14176ds4.htm#rom14176_56" TargetMode="External"/><Relationship Id="rId31" Type="http://schemas.openxmlformats.org/officeDocument/2006/relationships/hyperlink" Target="http://www.sec.gov/Archives/edgar/data/1868640/000119312521318921/d188742dex41.htm" TargetMode="External"/><Relationship Id="rId32" Type="http://schemas.openxmlformats.org/officeDocument/2006/relationships/hyperlink" Target="http://www.sec.gov/Archives/edgar/data/1868640/000119312521318921/d188742dex42.htm" TargetMode="External"/><Relationship Id="rId33" Type="http://schemas.openxmlformats.org/officeDocument/2006/relationships/hyperlink" Target="http://www.sec.gov/Archives/edgar/data/1868640/000119312521318921/d188742dex43.htm" TargetMode="External"/><Relationship Id="rId34" Type="http://schemas.openxmlformats.org/officeDocument/2006/relationships/hyperlink" Target="http://www.sec.gov/Archives/edgar/data/1868640/000119312521342437/d244497dex41.htm" TargetMode="External"/><Relationship Id="rId35" Type="http://schemas.openxmlformats.org/officeDocument/2006/relationships/hyperlink" Target="http://www.sec.gov/Archives/edgar/data/1868640/000119312523036577/d14176dex51.htm" TargetMode="External"/><Relationship Id="rId36" Type="http://schemas.openxmlformats.org/officeDocument/2006/relationships/hyperlink" Target="http://www.sec.gov/Archives/edgar/data/0001868640/000119312523139736/d14176dex81.htm" TargetMode="External"/><Relationship Id="rId37" Type="http://schemas.openxmlformats.org/officeDocument/2006/relationships/hyperlink" Target="http://www.sec.gov/Archives/edgar/data/1868640/000119312521342437/d244497dex101.htm" TargetMode="External"/><Relationship Id="rId38" Type="http://schemas.openxmlformats.org/officeDocument/2006/relationships/hyperlink" Target="http://www.sec.gov/Archives/edgar/data/1868640/000119312521342437/d244497dex102.htm" TargetMode="External"/><Relationship Id="rId39" Type="http://schemas.openxmlformats.org/officeDocument/2006/relationships/hyperlink" Target="http://www.sec.gov/Archives/edgar/data/1868640/000119312521342437/d244497dex103.htm" TargetMode="External"/><Relationship Id="rId40" Type="http://schemas.openxmlformats.org/officeDocument/2006/relationships/hyperlink" Target="http://www.sec.gov/Archives/edgar/data/1868640/000119312521342437/d244497dex106.htm" TargetMode="External"/><Relationship Id="rId41" Type="http://schemas.openxmlformats.org/officeDocument/2006/relationships/hyperlink" Target="http://www.sec.gov/Archives/edgar/data/1868640/000119312521342437/d244497dex104.htm" TargetMode="External"/><Relationship Id="rId42" Type="http://schemas.openxmlformats.org/officeDocument/2006/relationships/hyperlink" Target="http://www.sec.gov/ix?doc=/Archives/edgar/data/1868640/000119312523036577/d14176ds4.htm#rom14176_46" TargetMode="External"/><Relationship Id="rId43" Type="http://schemas.openxmlformats.org/officeDocument/2006/relationships/hyperlink" Target="http://www.sec.gov/ix?doc=/Archives/edgar/data/1868640/000119312523036577/d14176ds4.htm#rom14176_47" TargetMode="External"/><Relationship Id="rId44" Type="http://schemas.openxmlformats.org/officeDocument/2006/relationships/hyperlink" Target="http://www.sec.gov/ix?doc=/Archives/edgar/data/1868640/000119312523036577/d14176ds4.htm#rom14176_48" TargetMode="External"/><Relationship Id="rId45" Type="http://schemas.openxmlformats.org/officeDocument/2006/relationships/hyperlink" Target="http://www.sec.gov/Archives/edgar/data/0001868640/000119312523180578/d14176dex1011.htm" TargetMode="External"/><Relationship Id="rId46" Type="http://schemas.openxmlformats.org/officeDocument/2006/relationships/hyperlink" Target="http://www.sec.gov/Archives/edgar/data/0001868640/000119312523139736/d14176dex211.htm" TargetMode="External"/><Relationship Id="rId47" Type="http://schemas.openxmlformats.org/officeDocument/2006/relationships/hyperlink" Target="http://www.sec.gov/Archives/edgar/data/1868640/000119312523192337/d14176dex232.htm" TargetMode="External"/><Relationship Id="rId48" Type="http://schemas.openxmlformats.org/officeDocument/2006/relationships/hyperlink" Target="http://www.sec.gov/ix?doc=/Archives/edgar/data/1868640/000119312523036577/d14176ds4.htm#sig" TargetMode="External"/><Relationship Id="rId49" Type="http://schemas.openxmlformats.org/officeDocument/2006/relationships/hyperlink" Target="http://www.sec.gov/Archives/edgar/data/1868640/000119312523192337/d14176dex991.htm" TargetMode="External"/><Relationship Id="rId50" Type="http://schemas.openxmlformats.org/officeDocument/2006/relationships/hyperlink" Target="http://www.sec.gov/Archives/edgar/data/0001868640/000119312523139736/d14176dex992.htm" TargetMode="External"/><Relationship Id="rId51" Type="http://schemas.openxmlformats.org/officeDocument/2006/relationships/hyperlink" Target="http://www.sec.gov/Archives/edgar/data/0001868640/000119312523139736/d14176dex993.htm" TargetMode="External"/><Relationship Id="rId52" Type="http://schemas.openxmlformats.org/officeDocument/2006/relationships/hyperlink" Target="http://www.sec.gov/Archives/edgar/data/0001868640/000119312523139736/d14176dex994.htm" TargetMode="External"/><Relationship Id="rId53" Type="http://schemas.openxmlformats.org/officeDocument/2006/relationships/hyperlink" Target="http://www.sec.gov/Archives/edgar/data/0001868640/000119312523139736/d14176dex995.htm" TargetMode="External"/><Relationship Id="rId54" Type="http://schemas.openxmlformats.org/officeDocument/2006/relationships/hyperlink" Target="http://www.sec.gov/Archives/edgar/data/1868640/000119312523036577/d14176dex996.htm" TargetMode="External"/><Relationship Id="rId55" Type="http://schemas.openxmlformats.org/officeDocument/2006/relationships/hyperlink" Target="http://www.sec.gov/Archives/edgar/data/0001868640/000119312523139736/d14176dex997.htm" TargetMode="External"/><Relationship Id="rId56" Type="http://schemas.openxmlformats.org/officeDocument/2006/relationships/hyperlink" Target="http://www.sec.gov/Archives/edgar/data/0001868640/000119312523180578/d14176dex998.htm" TargetMode="External"/><Relationship Id="rId57" Type="http://schemas.openxmlformats.org/officeDocument/2006/relationships/hyperlink" Target="http://www.sec.gov/Archives/edgar/data/0001868640/000119312523180578/d14176dex999.htm" TargetMode="External"/><Relationship Id="rId58" Type="http://schemas.openxmlformats.org/officeDocument/2006/relationships/hyperlink" Target="http://www.sec.gov/Archives/edgar/data/1868640/000119312523036577/d1417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2023-08-14T05:45:46Z</dcterms:created>
  <dcterms:modified xsi:type="dcterms:W3CDTF">2023-08-14T05:45:46Z</dcterms:modified>
</cp:coreProperties>
</file>